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55D3" w:rsidRPr="00731EBF" w:rsidRDefault="004155D3" w:rsidP="004155D3">
      <w:pPr>
        <w:pStyle w:val="a4"/>
        <w:rPr>
          <w:rFonts w:eastAsia="맑은 고딕"/>
          <w:b w:val="0"/>
          <w:i/>
          <w:noProof w:val="0"/>
          <w:sz w:val="22"/>
          <w:lang w:val="en-GB" w:eastAsia="ko-KR"/>
        </w:rPr>
      </w:pPr>
      <w:r w:rsidRPr="00731EBF">
        <w:rPr>
          <w:rFonts w:cs="Arial"/>
          <w:bCs/>
          <w:sz w:val="24"/>
          <w:szCs w:val="24"/>
        </w:rPr>
        <w:t>3GPP TSG RAN WG1 Meeting</w:t>
      </w:r>
      <w:r w:rsidRPr="00731EBF">
        <w:rPr>
          <w:rFonts w:cs="Arial" w:hint="eastAsia"/>
          <w:bCs/>
          <w:sz w:val="24"/>
          <w:szCs w:val="24"/>
        </w:rPr>
        <w:t xml:space="preserve"> #</w:t>
      </w:r>
      <w:r w:rsidR="00BB6E8B" w:rsidRPr="00731EBF">
        <w:rPr>
          <w:rFonts w:eastAsia="맑은 고딕" w:cs="Arial" w:hint="eastAsia"/>
          <w:bCs/>
          <w:sz w:val="24"/>
          <w:szCs w:val="24"/>
          <w:lang w:eastAsia="ko-KR"/>
        </w:rPr>
        <w:t>80bis</w:t>
      </w:r>
      <w:r w:rsidRPr="00731EBF">
        <w:rPr>
          <w:sz w:val="20"/>
          <w:lang w:val="de-DE"/>
        </w:rPr>
        <w:tab/>
      </w:r>
      <w:r w:rsidRPr="00731EBF">
        <w:rPr>
          <w:sz w:val="20"/>
          <w:lang w:val="de-DE"/>
        </w:rPr>
        <w:tab/>
      </w:r>
      <w:r w:rsidRPr="00731EBF">
        <w:rPr>
          <w:sz w:val="20"/>
          <w:lang w:val="de-DE"/>
        </w:rPr>
        <w:tab/>
      </w:r>
      <w:r w:rsidRPr="00731EBF">
        <w:rPr>
          <w:sz w:val="20"/>
          <w:lang w:val="de-DE"/>
        </w:rPr>
        <w:tab/>
      </w:r>
      <w:r w:rsidRPr="00731EBF">
        <w:rPr>
          <w:sz w:val="20"/>
          <w:lang w:val="de-DE"/>
        </w:rPr>
        <w:tab/>
      </w:r>
      <w:r w:rsidRPr="00731EBF">
        <w:rPr>
          <w:sz w:val="20"/>
          <w:lang w:val="de-DE"/>
        </w:rPr>
        <w:tab/>
      </w:r>
      <w:r w:rsidRPr="00731EBF">
        <w:rPr>
          <w:sz w:val="20"/>
          <w:lang w:val="de-DE"/>
        </w:rPr>
        <w:tab/>
      </w:r>
      <w:r w:rsidRPr="00731EBF">
        <w:rPr>
          <w:sz w:val="20"/>
          <w:lang w:val="de-DE"/>
        </w:rPr>
        <w:tab/>
      </w:r>
      <w:r w:rsidRPr="00731EBF">
        <w:rPr>
          <w:sz w:val="20"/>
          <w:lang w:val="de-DE"/>
        </w:rPr>
        <w:tab/>
      </w:r>
      <w:r w:rsidRPr="00731EBF">
        <w:rPr>
          <w:sz w:val="20"/>
          <w:lang w:val="de-DE"/>
        </w:rPr>
        <w:tab/>
      </w:r>
      <w:r w:rsidRPr="00731EBF">
        <w:rPr>
          <w:sz w:val="20"/>
          <w:lang w:val="de-DE"/>
        </w:rPr>
        <w:tab/>
      </w:r>
      <w:r w:rsidRPr="00731EBF">
        <w:rPr>
          <w:sz w:val="20"/>
          <w:lang w:val="de-DE"/>
        </w:rPr>
        <w:tab/>
      </w:r>
      <w:r w:rsidRPr="00731EBF">
        <w:rPr>
          <w:sz w:val="20"/>
          <w:lang w:val="de-DE"/>
        </w:rPr>
        <w:tab/>
      </w:r>
      <w:r w:rsidRPr="00731EBF">
        <w:rPr>
          <w:sz w:val="20"/>
          <w:lang w:val="de-DE"/>
        </w:rPr>
        <w:tab/>
      </w:r>
      <w:r w:rsidRPr="00731EBF">
        <w:rPr>
          <w:sz w:val="20"/>
          <w:lang w:val="de-DE"/>
        </w:rPr>
        <w:tab/>
      </w:r>
      <w:r w:rsidRPr="00731EBF">
        <w:rPr>
          <w:sz w:val="20"/>
          <w:lang w:val="de-DE"/>
        </w:rPr>
        <w:tab/>
      </w:r>
      <w:r w:rsidRPr="00731EBF">
        <w:rPr>
          <w:i/>
          <w:noProof w:val="0"/>
          <w:sz w:val="22"/>
          <w:lang w:val="en-GB"/>
        </w:rPr>
        <w:t>R1-</w:t>
      </w:r>
      <w:r w:rsidR="00840640" w:rsidRPr="00731EBF">
        <w:rPr>
          <w:rFonts w:eastAsia="맑은 고딕" w:hint="eastAsia"/>
          <w:i/>
          <w:noProof w:val="0"/>
          <w:sz w:val="22"/>
          <w:lang w:val="en-GB" w:eastAsia="ko-KR"/>
        </w:rPr>
        <w:t>1</w:t>
      </w:r>
      <w:r w:rsidR="00BB6E8B" w:rsidRPr="00731EBF">
        <w:rPr>
          <w:rFonts w:eastAsia="맑은 고딕" w:hint="eastAsia"/>
          <w:i/>
          <w:noProof w:val="0"/>
          <w:sz w:val="22"/>
          <w:lang w:val="en-GB" w:eastAsia="ko-KR"/>
        </w:rPr>
        <w:t>5</w:t>
      </w:r>
      <w:r w:rsidR="00340DA6">
        <w:rPr>
          <w:rFonts w:eastAsia="맑은 고딕" w:hint="eastAsia"/>
          <w:i/>
          <w:noProof w:val="0"/>
          <w:sz w:val="22"/>
          <w:lang w:val="en-GB" w:eastAsia="ko-KR"/>
        </w:rPr>
        <w:t>1613</w:t>
      </w:r>
    </w:p>
    <w:p w:rsidR="004155D3" w:rsidRPr="00731EBF" w:rsidRDefault="00BB6E8B" w:rsidP="004155D3">
      <w:pPr>
        <w:pStyle w:val="a4"/>
        <w:rPr>
          <w:rFonts w:eastAsia="맑은 고딕" w:cs="Arial"/>
          <w:bCs/>
          <w:sz w:val="24"/>
          <w:szCs w:val="24"/>
          <w:lang w:eastAsia="ko-KR"/>
        </w:rPr>
      </w:pPr>
      <w:r w:rsidRPr="00731EBF">
        <w:rPr>
          <w:rFonts w:eastAsia="맑은 고딕" w:cs="Arial" w:hint="eastAsia"/>
          <w:bCs/>
          <w:sz w:val="24"/>
          <w:szCs w:val="24"/>
        </w:rPr>
        <w:t>Belgrade, Serbia,</w:t>
      </w:r>
      <w:r w:rsidRPr="00731EBF">
        <w:rPr>
          <w:rFonts w:cs="Arial"/>
          <w:bCs/>
          <w:sz w:val="24"/>
          <w:szCs w:val="24"/>
        </w:rPr>
        <w:t xml:space="preserve"> </w:t>
      </w:r>
      <w:r w:rsidRPr="00731EBF">
        <w:rPr>
          <w:rFonts w:eastAsia="맑은 고딕" w:hint="eastAsia"/>
          <w:sz w:val="24"/>
          <w:lang w:eastAsia="ko-KR"/>
        </w:rPr>
        <w:t>20</w:t>
      </w:r>
      <w:r w:rsidRPr="00731EBF">
        <w:rPr>
          <w:rFonts w:eastAsia="맑은 고딕" w:hint="eastAsia"/>
          <w:sz w:val="24"/>
          <w:vertAlign w:val="superscript"/>
          <w:lang w:eastAsia="ko-KR"/>
        </w:rPr>
        <w:t>th</w:t>
      </w:r>
      <w:r w:rsidRPr="00731EBF">
        <w:rPr>
          <w:rFonts w:eastAsia="맑은 고딕" w:cs="Arial" w:hint="eastAsia"/>
          <w:bCs/>
          <w:sz w:val="24"/>
          <w:szCs w:val="24"/>
          <w:lang w:eastAsia="ko-KR"/>
        </w:rPr>
        <w:t xml:space="preserve"> </w:t>
      </w:r>
      <w:r w:rsidRPr="00731EBF">
        <w:rPr>
          <w:rFonts w:eastAsia="맑은 고딕" w:cs="Arial"/>
          <w:bCs/>
          <w:sz w:val="24"/>
          <w:szCs w:val="24"/>
          <w:lang w:eastAsia="ko-KR"/>
        </w:rPr>
        <w:t>–</w:t>
      </w:r>
      <w:r w:rsidRPr="00731EBF">
        <w:rPr>
          <w:rFonts w:eastAsia="맑은 고딕" w:cs="Arial" w:hint="eastAsia"/>
          <w:bCs/>
          <w:sz w:val="24"/>
          <w:szCs w:val="24"/>
          <w:lang w:eastAsia="ko-KR"/>
        </w:rPr>
        <w:t xml:space="preserve"> </w:t>
      </w:r>
      <w:r w:rsidRPr="00731EBF">
        <w:rPr>
          <w:rFonts w:eastAsia="맑은 고딕" w:hint="eastAsia"/>
          <w:sz w:val="24"/>
          <w:lang w:eastAsia="ko-KR"/>
        </w:rPr>
        <w:t>24</w:t>
      </w:r>
      <w:r w:rsidRPr="00731EBF">
        <w:rPr>
          <w:rFonts w:eastAsia="맑은 고딕" w:hint="eastAsia"/>
          <w:sz w:val="24"/>
          <w:vertAlign w:val="superscript"/>
          <w:lang w:eastAsia="ko-KR"/>
        </w:rPr>
        <w:t>th</w:t>
      </w:r>
      <w:r w:rsidRPr="00731EBF">
        <w:rPr>
          <w:rFonts w:eastAsia="맑은 고딕" w:cs="Arial" w:hint="eastAsia"/>
          <w:bCs/>
          <w:sz w:val="24"/>
          <w:szCs w:val="24"/>
          <w:lang w:eastAsia="ko-KR"/>
        </w:rPr>
        <w:t xml:space="preserve"> </w:t>
      </w:r>
      <w:r w:rsidRPr="00731EBF">
        <w:rPr>
          <w:rFonts w:eastAsia="맑은 고딕" w:cs="Arial" w:hint="eastAsia"/>
          <w:bCs/>
          <w:sz w:val="24"/>
          <w:szCs w:val="24"/>
        </w:rPr>
        <w:t>April</w:t>
      </w:r>
      <w:r w:rsidRPr="00731EBF">
        <w:rPr>
          <w:rFonts w:cs="Arial"/>
          <w:bCs/>
          <w:sz w:val="24"/>
          <w:szCs w:val="24"/>
        </w:rPr>
        <w:t xml:space="preserve"> 201</w:t>
      </w:r>
      <w:r w:rsidRPr="00731EBF">
        <w:rPr>
          <w:rFonts w:eastAsia="맑은 고딕" w:cs="Arial" w:hint="eastAsia"/>
          <w:bCs/>
          <w:sz w:val="24"/>
          <w:szCs w:val="24"/>
        </w:rPr>
        <w:t>5</w:t>
      </w:r>
      <w:r w:rsidR="001A74FC" w:rsidRPr="00731EBF">
        <w:rPr>
          <w:rFonts w:cs="Arial"/>
          <w:bCs/>
          <w:sz w:val="24"/>
          <w:szCs w:val="24"/>
          <w:lang w:val="en-US"/>
        </w:rPr>
        <w:t xml:space="preserve"> </w:t>
      </w:r>
    </w:p>
    <w:p w:rsidR="006B2C17" w:rsidRPr="00731EBF" w:rsidRDefault="006B2C17" w:rsidP="006B2C17">
      <w:pPr>
        <w:tabs>
          <w:tab w:val="left" w:pos="1985"/>
        </w:tabs>
        <w:rPr>
          <w:rFonts w:ascii="Arial" w:hAnsi="Arial"/>
          <w:b/>
          <w:lang w:val="en-US"/>
        </w:rPr>
      </w:pPr>
    </w:p>
    <w:p w:rsidR="006B2C17" w:rsidRPr="00731EBF" w:rsidRDefault="006B2C17" w:rsidP="006B2C17">
      <w:pPr>
        <w:tabs>
          <w:tab w:val="left" w:pos="1500"/>
        </w:tabs>
        <w:rPr>
          <w:rFonts w:ascii="Arial" w:eastAsia="맑은 고딕" w:hAnsi="Arial"/>
          <w:sz w:val="24"/>
          <w:lang w:eastAsia="ko-KR"/>
        </w:rPr>
      </w:pPr>
      <w:r w:rsidRPr="00731EBF">
        <w:rPr>
          <w:rFonts w:ascii="Arial" w:hAnsi="Arial"/>
          <w:b/>
          <w:sz w:val="24"/>
        </w:rPr>
        <w:t>Agenda item:</w:t>
      </w:r>
      <w:bookmarkStart w:id="0" w:name="Source"/>
      <w:bookmarkEnd w:id="0"/>
      <w:r w:rsidRPr="00731EBF">
        <w:rPr>
          <w:rFonts w:ascii="Arial" w:eastAsia="맑은 고딕" w:hAnsi="Arial" w:hint="eastAsia"/>
          <w:sz w:val="24"/>
          <w:lang w:eastAsia="ko-KR"/>
        </w:rPr>
        <w:tab/>
      </w:r>
      <w:r w:rsidRPr="00731EBF">
        <w:rPr>
          <w:rFonts w:ascii="Arial" w:eastAsia="맑은 고딕" w:hAnsi="Arial" w:hint="eastAsia"/>
          <w:sz w:val="24"/>
          <w:lang w:eastAsia="ko-KR"/>
        </w:rPr>
        <w:tab/>
      </w:r>
      <w:r w:rsidR="002A52D0" w:rsidRPr="00731EBF">
        <w:rPr>
          <w:rFonts w:ascii="Arial" w:eastAsia="맑은 고딕" w:hAnsi="Arial" w:hint="eastAsia"/>
          <w:sz w:val="24"/>
          <w:lang w:eastAsia="ko-KR"/>
        </w:rPr>
        <w:t>7.2.3.</w:t>
      </w:r>
      <w:r w:rsidR="00340DA6">
        <w:rPr>
          <w:rFonts w:ascii="Arial" w:eastAsia="맑은 고딕" w:hAnsi="Arial" w:hint="eastAsia"/>
          <w:sz w:val="24"/>
          <w:lang w:eastAsia="ko-KR"/>
        </w:rPr>
        <w:t>1</w:t>
      </w:r>
      <w:r w:rsidR="009D771B" w:rsidRPr="00731EBF">
        <w:rPr>
          <w:rFonts w:ascii="Arial" w:eastAsia="맑은 고딕" w:hAnsi="Arial" w:hint="eastAsia"/>
          <w:sz w:val="24"/>
          <w:lang w:eastAsia="ko-KR"/>
        </w:rPr>
        <w:t>.</w:t>
      </w:r>
      <w:r w:rsidR="00340DA6">
        <w:rPr>
          <w:rFonts w:ascii="Arial" w:eastAsia="맑은 고딕" w:hAnsi="Arial" w:hint="eastAsia"/>
          <w:sz w:val="24"/>
          <w:lang w:eastAsia="ko-KR"/>
        </w:rPr>
        <w:t>2</w:t>
      </w:r>
    </w:p>
    <w:p w:rsidR="006B2C17" w:rsidRPr="00731EBF" w:rsidRDefault="006B2C17" w:rsidP="006B2C17">
      <w:pPr>
        <w:tabs>
          <w:tab w:val="left" w:pos="1985"/>
        </w:tabs>
        <w:rPr>
          <w:rFonts w:ascii="Arial" w:eastAsia="맑은 고딕" w:hAnsi="Arial"/>
          <w:sz w:val="24"/>
          <w:lang w:eastAsia="ko-KR"/>
        </w:rPr>
      </w:pPr>
      <w:r w:rsidRPr="00731EBF">
        <w:rPr>
          <w:rFonts w:ascii="Arial" w:hAnsi="Arial"/>
          <w:b/>
          <w:sz w:val="24"/>
        </w:rPr>
        <w:t>Source:</w:t>
      </w:r>
      <w:r w:rsidRPr="00731EBF">
        <w:rPr>
          <w:rFonts w:ascii="Arial" w:eastAsia="맑은 고딕" w:hAnsi="Arial" w:hint="eastAsia"/>
          <w:b/>
          <w:sz w:val="24"/>
          <w:lang w:eastAsia="ko-KR"/>
        </w:rPr>
        <w:tab/>
      </w:r>
      <w:r w:rsidRPr="00731EBF">
        <w:rPr>
          <w:rFonts w:ascii="Arial" w:hAnsi="Arial"/>
          <w:sz w:val="24"/>
        </w:rPr>
        <w:t>Samsung</w:t>
      </w:r>
      <w:r w:rsidR="00BB6E8B" w:rsidRPr="00731EBF">
        <w:rPr>
          <w:rFonts w:ascii="Arial" w:eastAsia="맑은 고딕" w:hAnsi="Arial" w:hint="eastAsia"/>
          <w:sz w:val="24"/>
          <w:lang w:eastAsia="ko-KR"/>
        </w:rPr>
        <w:t xml:space="preserve"> </w:t>
      </w:r>
    </w:p>
    <w:p w:rsidR="006B2C17" w:rsidRPr="00731EBF" w:rsidRDefault="006B2C17" w:rsidP="006B2C17">
      <w:pPr>
        <w:ind w:left="1136" w:hanging="1136"/>
        <w:rPr>
          <w:rFonts w:ascii="Arial" w:eastAsia="맑은 고딕" w:hAnsi="Arial"/>
          <w:sz w:val="24"/>
          <w:szCs w:val="24"/>
          <w:lang w:eastAsia="ko-KR"/>
        </w:rPr>
      </w:pPr>
      <w:r w:rsidRPr="00731EBF">
        <w:rPr>
          <w:rFonts w:ascii="Arial" w:hAnsi="Arial"/>
          <w:b/>
          <w:sz w:val="24"/>
          <w:szCs w:val="24"/>
        </w:rPr>
        <w:t>Title:</w:t>
      </w:r>
      <w:r w:rsidRPr="00731EBF">
        <w:rPr>
          <w:rFonts w:ascii="Arial" w:hAnsi="Arial"/>
          <w:sz w:val="24"/>
          <w:szCs w:val="24"/>
        </w:rPr>
        <w:t xml:space="preserve"> </w:t>
      </w:r>
      <w:r w:rsidRPr="00731EBF">
        <w:rPr>
          <w:rFonts w:ascii="Arial" w:hAnsi="Arial"/>
          <w:sz w:val="24"/>
          <w:szCs w:val="24"/>
        </w:rPr>
        <w:tab/>
      </w:r>
      <w:r w:rsidRPr="00731EBF">
        <w:rPr>
          <w:rFonts w:ascii="Arial" w:eastAsia="맑은 고딕" w:hAnsi="Arial" w:hint="eastAsia"/>
          <w:sz w:val="24"/>
          <w:szCs w:val="24"/>
          <w:lang w:eastAsia="ko-KR"/>
        </w:rPr>
        <w:tab/>
      </w:r>
      <w:r w:rsidRPr="00731EBF">
        <w:rPr>
          <w:rFonts w:ascii="Arial" w:eastAsia="맑은 고딕" w:hAnsi="Arial" w:hint="eastAsia"/>
          <w:sz w:val="24"/>
          <w:szCs w:val="24"/>
          <w:lang w:eastAsia="ko-KR"/>
        </w:rPr>
        <w:tab/>
      </w:r>
      <w:r w:rsidRPr="00731EBF">
        <w:rPr>
          <w:rFonts w:ascii="Arial" w:eastAsia="맑은 고딕" w:hAnsi="Arial" w:hint="eastAsia"/>
          <w:sz w:val="24"/>
          <w:szCs w:val="24"/>
          <w:lang w:eastAsia="ko-KR"/>
        </w:rPr>
        <w:tab/>
      </w:r>
      <w:r w:rsidR="00494A83" w:rsidRPr="00731EBF">
        <w:rPr>
          <w:rFonts w:ascii="Arial" w:eastAsia="맑은 고딕" w:hAnsi="Arial" w:hint="eastAsia"/>
          <w:sz w:val="24"/>
          <w:szCs w:val="24"/>
          <w:lang w:eastAsia="ko-KR"/>
        </w:rPr>
        <w:t xml:space="preserve">Discussion on </w:t>
      </w:r>
      <w:r w:rsidR="00340DA6">
        <w:rPr>
          <w:rFonts w:ascii="Arial" w:eastAsia="맑은 고딕" w:hAnsi="Arial" w:hint="eastAsia"/>
          <w:sz w:val="24"/>
          <w:szCs w:val="24"/>
          <w:lang w:eastAsia="ko-KR"/>
        </w:rPr>
        <w:t>eD2D power control in a non-serving carrier</w:t>
      </w:r>
    </w:p>
    <w:p w:rsidR="006B2C17" w:rsidRPr="00731EBF" w:rsidRDefault="006B2C17" w:rsidP="006B2C17">
      <w:pPr>
        <w:ind w:left="1136" w:hanging="1136"/>
        <w:rPr>
          <w:rFonts w:ascii="Arial" w:hAnsi="Arial"/>
          <w:sz w:val="24"/>
          <w:szCs w:val="24"/>
        </w:rPr>
      </w:pPr>
      <w:r w:rsidRPr="00731EBF">
        <w:rPr>
          <w:rFonts w:ascii="Arial" w:hAnsi="Arial"/>
          <w:b/>
          <w:sz w:val="24"/>
          <w:szCs w:val="24"/>
        </w:rPr>
        <w:t>Document for:</w:t>
      </w:r>
      <w:r w:rsidRPr="00731EBF">
        <w:rPr>
          <w:rFonts w:ascii="Arial" w:hAnsi="Arial"/>
          <w:b/>
          <w:sz w:val="24"/>
          <w:szCs w:val="24"/>
        </w:rPr>
        <w:tab/>
      </w:r>
      <w:r w:rsidRPr="00731EBF">
        <w:rPr>
          <w:rFonts w:ascii="Arial" w:eastAsia="맑은 고딕" w:hAnsi="Arial" w:hint="eastAsia"/>
          <w:b/>
          <w:sz w:val="24"/>
          <w:szCs w:val="24"/>
          <w:lang w:eastAsia="ko-KR"/>
        </w:rPr>
        <w:tab/>
      </w:r>
      <w:r w:rsidRPr="00731EBF">
        <w:rPr>
          <w:rFonts w:ascii="Arial" w:hAnsi="Arial"/>
          <w:sz w:val="24"/>
          <w:szCs w:val="24"/>
        </w:rPr>
        <w:t>Discussion and Decision</w:t>
      </w:r>
    </w:p>
    <w:p w:rsidR="00821A97" w:rsidRPr="00731EBF" w:rsidRDefault="00830D89" w:rsidP="002E3516">
      <w:pPr>
        <w:pStyle w:val="1"/>
        <w:ind w:left="567" w:hanging="567"/>
        <w:rPr>
          <w:rFonts w:eastAsia="맑은 고딕"/>
          <w:lang w:val="en-US" w:eastAsia="ko-KR"/>
        </w:rPr>
      </w:pPr>
      <w:r w:rsidRPr="00731EBF">
        <w:rPr>
          <w:rFonts w:eastAsia="맑은 고딕" w:hint="eastAsia"/>
          <w:lang w:val="en-US" w:eastAsia="ko-KR"/>
        </w:rPr>
        <w:t>1</w:t>
      </w:r>
      <w:r w:rsidRPr="00731EBF">
        <w:rPr>
          <w:rFonts w:eastAsia="맑은 고딕" w:hint="eastAsia"/>
          <w:lang w:val="en-US" w:eastAsia="ko-KR"/>
        </w:rPr>
        <w:tab/>
      </w:r>
      <w:r w:rsidR="00335236" w:rsidRPr="00731EBF">
        <w:rPr>
          <w:lang w:val="en-US"/>
        </w:rPr>
        <w:t>Introduction</w:t>
      </w:r>
    </w:p>
    <w:p w:rsidR="009916B0" w:rsidRPr="00731EBF" w:rsidRDefault="00FD6598" w:rsidP="001C4944">
      <w:pPr>
        <w:jc w:val="both"/>
        <w:rPr>
          <w:rFonts w:eastAsia="맑은 고딕"/>
          <w:lang w:val="en-US" w:eastAsia="ko-KR"/>
        </w:rPr>
      </w:pPr>
      <w:r w:rsidRPr="00731EBF">
        <w:rPr>
          <w:rFonts w:eastAsia="맑은 고딕" w:hint="eastAsia"/>
          <w:lang w:val="en-US" w:eastAsia="ko-KR"/>
        </w:rPr>
        <w:t>One of the objectives of enhanced LTE D2D Proximity services work item</w:t>
      </w:r>
      <w:r w:rsidR="000C5ED4" w:rsidRPr="00731EBF">
        <w:rPr>
          <w:rFonts w:eastAsia="맑은 고딕" w:hint="eastAsia"/>
          <w:lang w:val="en-US" w:eastAsia="ko-KR"/>
        </w:rPr>
        <w:t xml:space="preserve"> [1]</w:t>
      </w:r>
      <w:r w:rsidRPr="00731EBF">
        <w:rPr>
          <w:rFonts w:eastAsia="맑은 고딕" w:hint="eastAsia"/>
          <w:lang w:val="en-US" w:eastAsia="ko-KR"/>
        </w:rPr>
        <w:t xml:space="preserve"> is to </w:t>
      </w:r>
      <w:r w:rsidR="00E10DD1">
        <w:rPr>
          <w:rFonts w:eastAsia="맑은 고딕" w:hint="eastAsia"/>
          <w:lang w:val="en-US" w:eastAsia="ko-KR"/>
        </w:rPr>
        <w:t>allow sidelink direct discovery announcements in a non-serving carrier as</w:t>
      </w:r>
      <w:r w:rsidRPr="00731EBF">
        <w:rPr>
          <w:rFonts w:eastAsia="맑은 고딕" w:hint="eastAsia"/>
          <w:lang w:val="en-US" w:eastAsia="ko-KR"/>
        </w:rPr>
        <w:t xml:space="preserve"> the </w:t>
      </w:r>
      <w:r w:rsidRPr="00731EBF">
        <w:rPr>
          <w:rFonts w:eastAsia="맑은 고딕"/>
          <w:lang w:val="en-US" w:eastAsia="ko-KR"/>
        </w:rPr>
        <w:t>following</w:t>
      </w:r>
      <w:r w:rsidRPr="00731EBF">
        <w:rPr>
          <w:rFonts w:eastAsia="맑은 고딕" w:hint="eastAsia"/>
          <w:lang w:val="en-US" w:eastAsia="ko-KR"/>
        </w:rPr>
        <w:t>:</w:t>
      </w:r>
    </w:p>
    <w:p w:rsidR="00301DB4" w:rsidRPr="00301DB4" w:rsidRDefault="00301DB4" w:rsidP="00301DB4">
      <w:pPr>
        <w:numPr>
          <w:ilvl w:val="0"/>
          <w:numId w:val="46"/>
        </w:numPr>
        <w:jc w:val="both"/>
        <w:textAlignment w:val="auto"/>
        <w:rPr>
          <w:rFonts w:eastAsia="맑은 고딕"/>
          <w:lang w:val="en-US" w:eastAsia="ja-JP"/>
        </w:rPr>
      </w:pPr>
      <w:r w:rsidRPr="00301DB4">
        <w:rPr>
          <w:rFonts w:eastAsia="맑은 고딕"/>
          <w:lang w:val="en-US" w:eastAsia="ja-JP"/>
        </w:rPr>
        <w:t>Enhance D2D discovery support in the presence of multiple carriers and PLMNs:</w:t>
      </w:r>
    </w:p>
    <w:p w:rsidR="000C5ED4" w:rsidRPr="00301DB4" w:rsidRDefault="00301DB4" w:rsidP="00301DB4">
      <w:pPr>
        <w:numPr>
          <w:ilvl w:val="1"/>
          <w:numId w:val="44"/>
        </w:numPr>
        <w:ind w:left="567" w:hanging="207"/>
        <w:jc w:val="both"/>
        <w:textAlignment w:val="auto"/>
        <w:rPr>
          <w:lang w:val="en-US"/>
        </w:rPr>
      </w:pPr>
      <w:r w:rsidRPr="00301DB4">
        <w:rPr>
          <w:rFonts w:eastAsia="맑은 고딕"/>
          <w:lang w:val="en-US"/>
        </w:rPr>
        <w:t xml:space="preserve">Allow D2D transmissions in a non-serving carrier and/or secondary cell belonging to the same and possibly different PLMN as the serving cell </w:t>
      </w:r>
      <w:r w:rsidRPr="00301DB4">
        <w:rPr>
          <w:rFonts w:eastAsia="맑은 고딕"/>
        </w:rPr>
        <w:t xml:space="preserve">[RAN2, RAN1, </w:t>
      </w:r>
      <w:proofErr w:type="gramStart"/>
      <w:r w:rsidRPr="00301DB4">
        <w:rPr>
          <w:rFonts w:eastAsia="맑은 고딕"/>
        </w:rPr>
        <w:t>RAN3</w:t>
      </w:r>
      <w:proofErr w:type="gramEnd"/>
      <w:r w:rsidRPr="00301DB4">
        <w:rPr>
          <w:rFonts w:eastAsia="맑은 고딕"/>
        </w:rPr>
        <w:t>]</w:t>
      </w:r>
      <w:r w:rsidRPr="00301DB4">
        <w:rPr>
          <w:rFonts w:eastAsia="맑은 고딕"/>
          <w:lang w:val="en-US"/>
        </w:rPr>
        <w:t>.</w:t>
      </w:r>
    </w:p>
    <w:p w:rsidR="002D4CC9" w:rsidRPr="00731EBF" w:rsidRDefault="008E4DBD" w:rsidP="002D4CC9">
      <w:pPr>
        <w:overflowPunct/>
        <w:autoSpaceDE/>
        <w:autoSpaceDN/>
        <w:adjustRightInd/>
        <w:jc w:val="both"/>
        <w:textAlignment w:val="auto"/>
        <w:rPr>
          <w:rFonts w:eastAsia="맑은 고딕"/>
          <w:lang w:eastAsia="ko-KR"/>
        </w:rPr>
      </w:pPr>
      <w:r w:rsidRPr="00074925">
        <w:rPr>
          <w:rFonts w:eastAsia="맑은 고딕" w:hint="eastAsia"/>
          <w:lang w:eastAsia="ko-KR"/>
        </w:rPr>
        <w:t xml:space="preserve">This document will discuss eD2D power control when sidelink direct discovery announcements is allowed in a non-serving carrier. </w:t>
      </w:r>
      <w:r w:rsidR="00074925" w:rsidRPr="00074925">
        <w:rPr>
          <w:rFonts w:eastAsia="맑은 고딕" w:hint="eastAsia"/>
          <w:lang w:eastAsia="ko-KR"/>
        </w:rPr>
        <w:t>In</w:t>
      </w:r>
      <w:r w:rsidR="00074925">
        <w:rPr>
          <w:rFonts w:eastAsia="맑은 고딕" w:hint="eastAsia"/>
          <w:lang w:eastAsia="ko-KR"/>
        </w:rPr>
        <w:t xml:space="preserve"> addition, we discuss the power limitation issue during concurrent transmission in serving carrier and sidelink direct discovery transmission in non-serving carrier.</w:t>
      </w:r>
    </w:p>
    <w:p w:rsidR="00E10DD1" w:rsidRPr="00E10DD1" w:rsidRDefault="00E10DD1" w:rsidP="00E10DD1">
      <w:pPr>
        <w:pStyle w:val="1"/>
        <w:ind w:left="567" w:hanging="567"/>
        <w:rPr>
          <w:rFonts w:eastAsiaTheme="minorEastAsia"/>
          <w:lang w:val="en-US" w:eastAsia="ko-KR"/>
        </w:rPr>
      </w:pPr>
      <w:r>
        <w:rPr>
          <w:rFonts w:eastAsia="맑은 고딕" w:hint="eastAsia"/>
          <w:lang w:val="en-US" w:eastAsia="ko-KR"/>
        </w:rPr>
        <w:t>2</w:t>
      </w:r>
      <w:r w:rsidRPr="00731EBF">
        <w:rPr>
          <w:rFonts w:eastAsia="맑은 고딕" w:hint="eastAsia"/>
          <w:lang w:val="en-US" w:eastAsia="ko-KR"/>
        </w:rPr>
        <w:tab/>
      </w:r>
      <w:r w:rsidR="007E50DA">
        <w:rPr>
          <w:rFonts w:eastAsia="맑은 고딕" w:hint="eastAsia"/>
          <w:lang w:val="en-US" w:eastAsia="ko-KR"/>
        </w:rPr>
        <w:t xml:space="preserve">Transmission </w:t>
      </w:r>
      <w:r w:rsidR="007E50DA">
        <w:rPr>
          <w:rFonts w:eastAsiaTheme="minorEastAsia" w:hint="eastAsia"/>
          <w:lang w:val="en-US" w:eastAsia="ko-KR"/>
        </w:rPr>
        <w:t>Power Control in a Non-serving Carrier</w:t>
      </w:r>
    </w:p>
    <w:p w:rsidR="00966FFA" w:rsidRPr="00731EBF" w:rsidRDefault="008F4430" w:rsidP="00116FFD">
      <w:pPr>
        <w:jc w:val="both"/>
        <w:rPr>
          <w:rFonts w:eastAsiaTheme="minorEastAsia"/>
          <w:lang w:val="en-US" w:eastAsia="ko-KR"/>
        </w:rPr>
      </w:pPr>
      <w:r>
        <w:rPr>
          <w:rFonts w:eastAsiaTheme="minorEastAsia" w:hint="eastAsia"/>
          <w:lang w:val="en-US" w:eastAsia="ko-KR"/>
        </w:rPr>
        <w:t xml:space="preserve">In this section, </w:t>
      </w:r>
      <w:r w:rsidR="00C863AA">
        <w:rPr>
          <w:rFonts w:eastAsiaTheme="minorEastAsia" w:hint="eastAsia"/>
          <w:lang w:val="en-US" w:eastAsia="ko-KR"/>
        </w:rPr>
        <w:t>it is discussed</w:t>
      </w:r>
      <w:r w:rsidR="00262465">
        <w:rPr>
          <w:rFonts w:eastAsiaTheme="minorEastAsia" w:hint="eastAsia"/>
          <w:lang w:val="en-US" w:eastAsia="ko-KR"/>
        </w:rPr>
        <w:t xml:space="preserve"> how </w:t>
      </w:r>
      <w:r w:rsidR="003F68BB">
        <w:rPr>
          <w:rFonts w:eastAsiaTheme="minorEastAsia" w:hint="eastAsia"/>
          <w:lang w:val="en-US" w:eastAsia="ko-KR"/>
        </w:rPr>
        <w:t>we</w:t>
      </w:r>
      <w:r w:rsidR="00262465">
        <w:rPr>
          <w:rFonts w:eastAsiaTheme="minorEastAsia" w:hint="eastAsia"/>
          <w:lang w:val="en-US" w:eastAsia="ko-KR"/>
        </w:rPr>
        <w:t xml:space="preserve"> obtain the </w:t>
      </w:r>
      <w:r w:rsidR="00C863AA">
        <w:rPr>
          <w:rFonts w:eastAsiaTheme="minorEastAsia" w:hint="eastAsia"/>
          <w:lang w:val="en-US" w:eastAsia="ko-KR"/>
        </w:rPr>
        <w:t xml:space="preserve">power control </w:t>
      </w:r>
      <w:r w:rsidR="00262465">
        <w:rPr>
          <w:rFonts w:eastAsiaTheme="minorEastAsia" w:hint="eastAsia"/>
          <w:lang w:val="en-US" w:eastAsia="ko-KR"/>
        </w:rPr>
        <w:t xml:space="preserve">parameters and how </w:t>
      </w:r>
      <w:r w:rsidR="003F68BB">
        <w:rPr>
          <w:rFonts w:eastAsiaTheme="minorEastAsia" w:hint="eastAsia"/>
          <w:lang w:val="en-US" w:eastAsia="ko-KR"/>
        </w:rPr>
        <w:t>we</w:t>
      </w:r>
      <w:r w:rsidR="00262465">
        <w:rPr>
          <w:rFonts w:eastAsiaTheme="minorEastAsia" w:hint="eastAsia"/>
          <w:lang w:val="en-US" w:eastAsia="ko-KR"/>
        </w:rPr>
        <w:t xml:space="preserve"> set the transmission.</w:t>
      </w:r>
    </w:p>
    <w:p w:rsidR="00262465" w:rsidRDefault="00262465" w:rsidP="00DF7B25">
      <w:pPr>
        <w:jc w:val="both"/>
        <w:rPr>
          <w:rFonts w:eastAsia="맑은 고딕"/>
          <w:lang w:eastAsia="ko-KR"/>
        </w:rPr>
      </w:pPr>
      <w:r>
        <w:rPr>
          <w:rFonts w:eastAsia="맑은 고딕" w:hint="eastAsia"/>
          <w:lang w:eastAsia="ko-KR"/>
        </w:rPr>
        <w:t xml:space="preserve">In Rel-12, main purpose of D2D power control was to minimize in-band emission impact to WAN. </w:t>
      </w:r>
      <w:r w:rsidR="003F68BB">
        <w:rPr>
          <w:rFonts w:eastAsia="맑은 고딕" w:hint="eastAsia"/>
          <w:lang w:eastAsia="ko-KR"/>
        </w:rPr>
        <w:t>Similarly, if an eD2D UE transmitting in a non-serving carrier does not control its transmission power, discovery signal transmitted from the UE may cause an impact to WAN as shown in Fig. 1.</w:t>
      </w:r>
      <w:r w:rsidR="00C863AA">
        <w:rPr>
          <w:rFonts w:eastAsia="맑은 고딕" w:hint="eastAsia"/>
          <w:lang w:eastAsia="ko-KR"/>
        </w:rPr>
        <w:t xml:space="preserve"> Thus, in our view, </w:t>
      </w:r>
      <w:r w:rsidR="00692223">
        <w:rPr>
          <w:rFonts w:eastAsia="맑은 고딕" w:hint="eastAsia"/>
          <w:lang w:eastAsia="ko-KR"/>
        </w:rPr>
        <w:t xml:space="preserve">open-loop </w:t>
      </w:r>
      <w:r w:rsidR="00C863AA">
        <w:rPr>
          <w:rFonts w:eastAsia="맑은 고딕" w:hint="eastAsia"/>
          <w:lang w:eastAsia="ko-KR"/>
        </w:rPr>
        <w:t xml:space="preserve">power control is also needed for </w:t>
      </w:r>
      <w:r w:rsidR="00692223">
        <w:rPr>
          <w:rFonts w:eastAsia="맑은 고딕" w:hint="eastAsia"/>
          <w:lang w:eastAsia="ko-KR"/>
        </w:rPr>
        <w:t>sidelink discovery announcement</w:t>
      </w:r>
      <w:r w:rsidR="00C863AA">
        <w:rPr>
          <w:rFonts w:eastAsia="맑은 고딕" w:hint="eastAsia"/>
          <w:lang w:eastAsia="ko-KR"/>
        </w:rPr>
        <w:t xml:space="preserve"> in a non-serving carrier</w:t>
      </w:r>
      <w:r w:rsidR="00692223">
        <w:rPr>
          <w:rFonts w:eastAsia="맑은 고딕" w:hint="eastAsia"/>
          <w:lang w:eastAsia="ko-KR"/>
        </w:rPr>
        <w:t>.</w:t>
      </w:r>
      <w:r w:rsidR="00C863AA">
        <w:rPr>
          <w:rFonts w:eastAsia="맑은 고딕" w:hint="eastAsia"/>
          <w:lang w:eastAsia="ko-KR"/>
        </w:rPr>
        <w:t xml:space="preserve"> </w:t>
      </w:r>
    </w:p>
    <w:p w:rsidR="00AE34B1" w:rsidRPr="00731EBF" w:rsidRDefault="00F74CFC" w:rsidP="00DF7B25">
      <w:pPr>
        <w:jc w:val="both"/>
        <w:rPr>
          <w:rFonts w:eastAsia="맑은 고딕"/>
          <w:i/>
          <w:lang w:val="en-US" w:eastAsia="ko-KR"/>
        </w:rPr>
      </w:pPr>
      <w:r>
        <w:rPr>
          <w:rFonts w:eastAsia="맑은 고딕" w:hint="eastAsia"/>
          <w:b/>
          <w:lang w:eastAsia="ko-KR"/>
        </w:rPr>
        <w:t>Proposal</w:t>
      </w:r>
      <w:r w:rsidR="00AE34B1" w:rsidRPr="00731EBF">
        <w:rPr>
          <w:rFonts w:eastAsia="맑은 고딕" w:hint="eastAsia"/>
          <w:b/>
          <w:lang w:eastAsia="ko-KR"/>
        </w:rPr>
        <w:t xml:space="preserve"> </w:t>
      </w:r>
      <w:r w:rsidR="002270D4">
        <w:rPr>
          <w:rFonts w:eastAsia="맑은 고딕" w:hint="eastAsia"/>
          <w:b/>
          <w:lang w:val="en-US" w:eastAsia="ko-KR"/>
        </w:rPr>
        <w:t>1</w:t>
      </w:r>
      <w:r w:rsidR="00275FF1" w:rsidRPr="00731EBF">
        <w:rPr>
          <w:rFonts w:eastAsia="맑은 고딕" w:hint="eastAsia"/>
          <w:b/>
          <w:lang w:val="en-US" w:eastAsia="ko-KR"/>
        </w:rPr>
        <w:t>:</w:t>
      </w:r>
      <w:r w:rsidR="00275FF1" w:rsidRPr="00731EBF">
        <w:rPr>
          <w:rFonts w:eastAsia="맑은 고딕" w:hint="eastAsia"/>
          <w:lang w:val="en-US" w:eastAsia="ko-KR"/>
        </w:rPr>
        <w:t xml:space="preserve"> </w:t>
      </w:r>
      <w:r>
        <w:rPr>
          <w:rFonts w:eastAsia="맑은 고딕" w:hint="eastAsia"/>
          <w:i/>
          <w:lang w:val="en-US" w:eastAsia="ko-KR"/>
        </w:rPr>
        <w:t>O</w:t>
      </w:r>
      <w:r w:rsidR="00692223">
        <w:rPr>
          <w:rFonts w:eastAsia="맑은 고딕" w:hint="eastAsia"/>
          <w:i/>
          <w:lang w:val="en-US" w:eastAsia="ko-KR"/>
        </w:rPr>
        <w:t xml:space="preserve">pen-loop power control </w:t>
      </w:r>
      <w:r>
        <w:rPr>
          <w:rFonts w:eastAsia="맑은 고딕" w:hint="eastAsia"/>
          <w:i/>
          <w:lang w:val="en-US" w:eastAsia="ko-KR"/>
        </w:rPr>
        <w:t>is</w:t>
      </w:r>
      <w:r w:rsidR="00692223">
        <w:rPr>
          <w:rFonts w:eastAsia="맑은 고딕" w:hint="eastAsia"/>
          <w:i/>
          <w:lang w:val="en-US" w:eastAsia="ko-KR"/>
        </w:rPr>
        <w:t xml:space="preserve"> needed to minimize WAN impact</w:t>
      </w:r>
      <w:r>
        <w:rPr>
          <w:rFonts w:eastAsia="맑은 고딕" w:hint="eastAsia"/>
          <w:i/>
          <w:lang w:val="en-US" w:eastAsia="ko-KR"/>
        </w:rPr>
        <w:t xml:space="preserve"> when </w:t>
      </w:r>
      <w:r w:rsidR="0011330E">
        <w:rPr>
          <w:rFonts w:eastAsia="맑은 고딕" w:hint="eastAsia"/>
          <w:i/>
          <w:lang w:val="en-US" w:eastAsia="ko-KR"/>
        </w:rPr>
        <w:t>sidelink discovery announcement</w:t>
      </w:r>
      <w:r>
        <w:rPr>
          <w:rFonts w:eastAsia="맑은 고딕" w:hint="eastAsia"/>
          <w:i/>
          <w:lang w:val="en-US" w:eastAsia="ko-KR"/>
        </w:rPr>
        <w:t xml:space="preserve"> is allowed in a non-serving carrier</w:t>
      </w:r>
      <w:r w:rsidR="00692223">
        <w:rPr>
          <w:rFonts w:eastAsia="맑은 고딕" w:hint="eastAsia"/>
          <w:i/>
          <w:lang w:val="en-US" w:eastAsia="ko-KR"/>
        </w:rPr>
        <w:t>.</w:t>
      </w:r>
    </w:p>
    <w:p w:rsidR="00AE34B1" w:rsidRPr="00731EBF" w:rsidRDefault="000E1FFE" w:rsidP="00DF7B25">
      <w:pPr>
        <w:jc w:val="both"/>
        <w:rPr>
          <w:rFonts w:eastAsia="맑은 고딕"/>
          <w:b/>
          <w:u w:val="single"/>
          <w:lang w:eastAsia="ko-KR"/>
        </w:rPr>
      </w:pPr>
      <w:r w:rsidRPr="00731EBF">
        <w:rPr>
          <w:rFonts w:eastAsia="맑은 고딕" w:hint="eastAsia"/>
          <w:b/>
          <w:u w:val="single"/>
          <w:lang w:eastAsia="ko-KR"/>
        </w:rPr>
        <w:t xml:space="preserve">How to </w:t>
      </w:r>
      <w:r w:rsidR="00861BB5">
        <w:rPr>
          <w:rFonts w:eastAsia="맑은 고딕" w:hint="eastAsia"/>
          <w:b/>
          <w:u w:val="single"/>
          <w:lang w:eastAsia="ko-KR"/>
        </w:rPr>
        <w:t>obtain the parameters</w:t>
      </w:r>
    </w:p>
    <w:p w:rsidR="00A825B5" w:rsidRDefault="00A825B5" w:rsidP="002C4AF7">
      <w:pPr>
        <w:overflowPunct/>
        <w:autoSpaceDE/>
        <w:autoSpaceDN/>
        <w:adjustRightInd/>
        <w:jc w:val="both"/>
        <w:textAlignment w:val="auto"/>
        <w:rPr>
          <w:rFonts w:eastAsia="맑은 고딕"/>
          <w:lang w:eastAsia="ko-KR"/>
        </w:rPr>
      </w:pPr>
      <w:r>
        <w:rPr>
          <w:rFonts w:eastAsia="맑은 고딕" w:hint="eastAsia"/>
          <w:lang w:eastAsia="ko-KR"/>
        </w:rPr>
        <w:t xml:space="preserve">For transmission power control, an eD2D UE has to know power control parameters used in </w:t>
      </w:r>
      <w:r w:rsidR="00AE7B2D">
        <w:rPr>
          <w:rFonts w:eastAsia="맑은 고딕" w:hint="eastAsia"/>
          <w:lang w:eastAsia="ko-KR"/>
        </w:rPr>
        <w:t>its transmission</w:t>
      </w:r>
      <w:r>
        <w:rPr>
          <w:rFonts w:eastAsia="맑은 고딕" w:hint="eastAsia"/>
          <w:lang w:eastAsia="ko-KR"/>
        </w:rPr>
        <w:t xml:space="preserve">. In Rel-12, a UE is allowed to transmit sidelink direct discovery announcements in serving cell only. Thus, serving cell provides resource pool configuration and power control parameters via SIB19. For discovery transmission in a non-serving carrier, </w:t>
      </w:r>
      <w:r w:rsidR="00F74CFC">
        <w:rPr>
          <w:rFonts w:eastAsia="맑은 고딕" w:hint="eastAsia"/>
          <w:lang w:eastAsia="ko-KR"/>
        </w:rPr>
        <w:t>it</w:t>
      </w:r>
      <w:r>
        <w:rPr>
          <w:rFonts w:eastAsia="맑은 고딕" w:hint="eastAsia"/>
          <w:lang w:eastAsia="ko-KR"/>
        </w:rPr>
        <w:t xml:space="preserve"> </w:t>
      </w:r>
      <w:r w:rsidR="00F74CFC">
        <w:rPr>
          <w:rFonts w:eastAsia="맑은 고딕" w:hint="eastAsia"/>
          <w:lang w:eastAsia="ko-KR"/>
        </w:rPr>
        <w:t xml:space="preserve">would be possible </w:t>
      </w:r>
      <w:r w:rsidR="00AE7B2D">
        <w:rPr>
          <w:rFonts w:eastAsia="맑은 고딕" w:hint="eastAsia"/>
          <w:lang w:eastAsia="ko-KR"/>
        </w:rPr>
        <w:t xml:space="preserve">for a serving cell </w:t>
      </w:r>
      <w:r w:rsidR="00F74CFC">
        <w:rPr>
          <w:rFonts w:eastAsia="맑은 고딕" w:hint="eastAsia"/>
          <w:lang w:eastAsia="ko-KR"/>
        </w:rPr>
        <w:t xml:space="preserve">to </w:t>
      </w:r>
      <w:r w:rsidR="00AE7B2D">
        <w:rPr>
          <w:rFonts w:eastAsia="맑은 고딕" w:hint="eastAsia"/>
          <w:lang w:eastAsia="ko-KR"/>
        </w:rPr>
        <w:t>configure</w:t>
      </w:r>
      <w:r w:rsidR="00F74CFC">
        <w:rPr>
          <w:rFonts w:eastAsia="맑은 고딕" w:hint="eastAsia"/>
          <w:lang w:eastAsia="ko-KR"/>
        </w:rPr>
        <w:t xml:space="preserve"> non-serving carrier</w:t>
      </w:r>
      <w:r w:rsidR="00F74CFC">
        <w:rPr>
          <w:rFonts w:eastAsia="맑은 고딕"/>
          <w:lang w:eastAsia="ko-KR"/>
        </w:rPr>
        <w:t>’</w:t>
      </w:r>
      <w:r w:rsidR="00F74CFC">
        <w:rPr>
          <w:rFonts w:eastAsia="맑은 고딕" w:hint="eastAsia"/>
          <w:lang w:eastAsia="ko-KR"/>
        </w:rPr>
        <w:t xml:space="preserve">s transmission parameters via SIB 19. However, </w:t>
      </w:r>
      <w:r w:rsidR="00AE7B2D">
        <w:rPr>
          <w:rFonts w:eastAsia="맑은 고딕" w:hint="eastAsia"/>
          <w:lang w:eastAsia="ko-KR"/>
        </w:rPr>
        <w:t xml:space="preserve">this approach </w:t>
      </w:r>
      <w:r w:rsidR="00F74CFC">
        <w:rPr>
          <w:rFonts w:eastAsia="맑은 고딕" w:hint="eastAsia"/>
          <w:lang w:eastAsia="ko-KR"/>
        </w:rPr>
        <w:t xml:space="preserve">can cause significant </w:t>
      </w:r>
      <w:r w:rsidR="00F74CFC">
        <w:rPr>
          <w:rFonts w:eastAsia="맑은 고딕"/>
          <w:lang w:eastAsia="ko-KR"/>
        </w:rPr>
        <w:t>signalling</w:t>
      </w:r>
      <w:r w:rsidR="00F74CFC">
        <w:rPr>
          <w:rFonts w:eastAsia="맑은 고딕" w:hint="eastAsia"/>
          <w:lang w:eastAsia="ko-KR"/>
        </w:rPr>
        <w:t xml:space="preserve"> overhead</w:t>
      </w:r>
      <w:r w:rsidR="00AE7B2D">
        <w:rPr>
          <w:rFonts w:eastAsia="맑은 고딕" w:hint="eastAsia"/>
          <w:lang w:eastAsia="ko-KR"/>
        </w:rPr>
        <w:t xml:space="preserve"> as shown in our analysis [2]</w:t>
      </w:r>
      <w:r w:rsidR="00F74CFC">
        <w:rPr>
          <w:rFonts w:eastAsia="맑은 고딕" w:hint="eastAsia"/>
          <w:lang w:eastAsia="ko-KR"/>
        </w:rPr>
        <w:t xml:space="preserve">. So, in our view, it would be better for a non-serving cell to provide </w:t>
      </w:r>
      <w:r w:rsidR="00AE7B2D">
        <w:rPr>
          <w:rFonts w:eastAsia="맑은 고딕" w:hint="eastAsia"/>
          <w:lang w:eastAsia="ko-KR"/>
        </w:rPr>
        <w:t>power control</w:t>
      </w:r>
      <w:r w:rsidR="00F74CFC">
        <w:rPr>
          <w:rFonts w:eastAsia="맑은 고딕" w:hint="eastAsia"/>
          <w:lang w:eastAsia="ko-KR"/>
        </w:rPr>
        <w:t xml:space="preserve"> parameters, and an eD2D UE who wants to transmit sidelink discovery announcements in a non-serving carrier reads the SIB19 of non-serving carrier.</w:t>
      </w:r>
    </w:p>
    <w:p w:rsidR="00C42070" w:rsidRDefault="00F74CFC" w:rsidP="002C4AF7">
      <w:pPr>
        <w:overflowPunct/>
        <w:autoSpaceDE/>
        <w:autoSpaceDN/>
        <w:adjustRightInd/>
        <w:jc w:val="both"/>
        <w:textAlignment w:val="auto"/>
        <w:rPr>
          <w:rFonts w:eastAsia="맑은 고딕"/>
          <w:i/>
          <w:lang w:eastAsia="ko-KR"/>
        </w:rPr>
      </w:pPr>
      <w:r>
        <w:rPr>
          <w:rFonts w:eastAsia="맑은 고딕" w:hint="eastAsia"/>
          <w:b/>
          <w:lang w:eastAsia="ko-KR"/>
        </w:rPr>
        <w:t>Proposal</w:t>
      </w:r>
      <w:r w:rsidR="00C42070" w:rsidRPr="00731EBF">
        <w:rPr>
          <w:rFonts w:eastAsia="맑은 고딕" w:hint="eastAsia"/>
          <w:b/>
          <w:lang w:eastAsia="ko-KR"/>
        </w:rPr>
        <w:t xml:space="preserve"> </w:t>
      </w:r>
      <w:r w:rsidR="002270D4">
        <w:rPr>
          <w:rFonts w:eastAsia="맑은 고딕" w:hint="eastAsia"/>
          <w:b/>
          <w:lang w:eastAsia="ko-KR"/>
        </w:rPr>
        <w:t>2</w:t>
      </w:r>
      <w:r w:rsidR="00C42070" w:rsidRPr="00731EBF">
        <w:rPr>
          <w:rFonts w:eastAsia="맑은 고딕" w:hint="eastAsia"/>
          <w:lang w:eastAsia="ko-KR"/>
        </w:rPr>
        <w:t xml:space="preserve">: </w:t>
      </w:r>
      <w:r>
        <w:rPr>
          <w:rFonts w:eastAsia="맑은 고딕" w:hint="eastAsia"/>
          <w:i/>
          <w:lang w:eastAsia="ko-KR"/>
        </w:rPr>
        <w:t xml:space="preserve">A non-serving cell provides transmission parameters via SIB19 and an eD2D UE who wants </w:t>
      </w:r>
      <w:r w:rsidR="0011330E">
        <w:rPr>
          <w:rFonts w:eastAsia="맑은 고딕" w:hint="eastAsia"/>
          <w:i/>
          <w:lang w:eastAsia="ko-KR"/>
        </w:rPr>
        <w:t>sidelink discovery transmission in a non-serving carrier reads SIB 19 of the non-serving cell.</w:t>
      </w:r>
    </w:p>
    <w:p w:rsidR="00861BB5" w:rsidRPr="00731EBF" w:rsidRDefault="00861BB5" w:rsidP="00861BB5">
      <w:pPr>
        <w:jc w:val="both"/>
        <w:rPr>
          <w:rFonts w:eastAsia="맑은 고딕"/>
          <w:b/>
          <w:u w:val="single"/>
          <w:lang w:eastAsia="ko-KR"/>
        </w:rPr>
      </w:pPr>
      <w:r w:rsidRPr="00731EBF">
        <w:rPr>
          <w:rFonts w:eastAsia="맑은 고딕" w:hint="eastAsia"/>
          <w:b/>
          <w:u w:val="single"/>
          <w:lang w:eastAsia="ko-KR"/>
        </w:rPr>
        <w:t xml:space="preserve">How to </w:t>
      </w:r>
      <w:r>
        <w:rPr>
          <w:rFonts w:eastAsia="맑은 고딕" w:hint="eastAsia"/>
          <w:b/>
          <w:u w:val="single"/>
          <w:lang w:eastAsia="ko-KR"/>
        </w:rPr>
        <w:t>set the transmission power</w:t>
      </w:r>
    </w:p>
    <w:p w:rsidR="0061731C" w:rsidRDefault="008638E7" w:rsidP="00861BB5">
      <w:pPr>
        <w:overflowPunct/>
        <w:autoSpaceDE/>
        <w:autoSpaceDN/>
        <w:adjustRightInd/>
        <w:jc w:val="both"/>
        <w:textAlignment w:val="auto"/>
        <w:rPr>
          <w:rFonts w:eastAsia="맑은 고딕"/>
          <w:lang w:eastAsia="ko-KR"/>
        </w:rPr>
      </w:pPr>
      <w:r>
        <w:rPr>
          <w:rFonts w:eastAsia="맑은 고딕" w:hint="eastAsia"/>
          <w:lang w:eastAsia="ko-KR"/>
        </w:rPr>
        <w:t xml:space="preserve">After obtaining transmission </w:t>
      </w:r>
      <w:r>
        <w:rPr>
          <w:rFonts w:eastAsia="맑은 고딕"/>
          <w:lang w:eastAsia="ko-KR"/>
        </w:rPr>
        <w:t>parameter</w:t>
      </w:r>
      <w:r>
        <w:rPr>
          <w:rFonts w:eastAsia="맑은 고딕" w:hint="eastAsia"/>
          <w:lang w:eastAsia="ko-KR"/>
        </w:rPr>
        <w:t>s</w:t>
      </w:r>
      <w:r>
        <w:rPr>
          <w:rFonts w:eastAsia="맑은 고딕"/>
          <w:lang w:eastAsia="ko-KR"/>
        </w:rPr>
        <w:t xml:space="preserve">, </w:t>
      </w:r>
      <w:r>
        <w:rPr>
          <w:rFonts w:eastAsia="맑은 고딕" w:hint="eastAsia"/>
          <w:lang w:eastAsia="ko-KR"/>
        </w:rPr>
        <w:t xml:space="preserve">the UE has to calculate path-loss </w:t>
      </w:r>
      <w:r w:rsidR="0061731C">
        <w:rPr>
          <w:rFonts w:eastAsia="맑은 고딕" w:hint="eastAsia"/>
          <w:lang w:eastAsia="ko-KR"/>
        </w:rPr>
        <w:t xml:space="preserve">to apply </w:t>
      </w:r>
      <w:r>
        <w:rPr>
          <w:rFonts w:eastAsia="맑은 고딕" w:hint="eastAsia"/>
          <w:lang w:eastAsia="ko-KR"/>
        </w:rPr>
        <w:t xml:space="preserve">for open-loop power control. </w:t>
      </w:r>
      <w:r w:rsidR="0061731C">
        <w:rPr>
          <w:rFonts w:eastAsia="맑은 고딕" w:hint="eastAsia"/>
          <w:lang w:eastAsia="ko-KR"/>
        </w:rPr>
        <w:t>In this case, eD2D-1 in F</w:t>
      </w:r>
      <w:r w:rsidR="0061731C">
        <w:rPr>
          <w:rFonts w:eastAsia="맑은 고딕"/>
          <w:lang w:eastAsia="ko-KR"/>
        </w:rPr>
        <w:t>i</w:t>
      </w:r>
      <w:r w:rsidR="0061731C">
        <w:rPr>
          <w:rFonts w:eastAsia="맑은 고딕" w:hint="eastAsia"/>
          <w:lang w:eastAsia="ko-KR"/>
        </w:rPr>
        <w:t>g. 1 estimates the path-loss based on RSRP received from the eNB-2, not based on RSRP from the serving eNB-1. We think that it should be specified in Rel-13 eD2D to prevent transmitting UE</w:t>
      </w:r>
      <w:r w:rsidR="0061731C">
        <w:rPr>
          <w:rFonts w:eastAsia="맑은 고딕"/>
          <w:lang w:eastAsia="ko-KR"/>
        </w:rPr>
        <w:t>’</w:t>
      </w:r>
      <w:r w:rsidR="0061731C">
        <w:rPr>
          <w:rFonts w:eastAsia="맑은 고딕" w:hint="eastAsia"/>
          <w:lang w:eastAsia="ko-KR"/>
        </w:rPr>
        <w:t xml:space="preserve">s ambiguity, even if this operation is so natural. </w:t>
      </w:r>
    </w:p>
    <w:p w:rsidR="0061731C" w:rsidRDefault="0061731C" w:rsidP="0061731C">
      <w:pPr>
        <w:overflowPunct/>
        <w:autoSpaceDE/>
        <w:autoSpaceDN/>
        <w:adjustRightInd/>
        <w:jc w:val="both"/>
        <w:textAlignment w:val="auto"/>
        <w:rPr>
          <w:rFonts w:eastAsia="맑은 고딕"/>
          <w:i/>
          <w:lang w:eastAsia="ko-KR"/>
        </w:rPr>
      </w:pPr>
      <w:r>
        <w:rPr>
          <w:rFonts w:eastAsia="맑은 고딕" w:hint="eastAsia"/>
          <w:b/>
          <w:lang w:eastAsia="ko-KR"/>
        </w:rPr>
        <w:t>Proposal</w:t>
      </w:r>
      <w:r w:rsidRPr="00731EBF">
        <w:rPr>
          <w:rFonts w:eastAsia="맑은 고딕" w:hint="eastAsia"/>
          <w:b/>
          <w:lang w:eastAsia="ko-KR"/>
        </w:rPr>
        <w:t xml:space="preserve"> </w:t>
      </w:r>
      <w:r>
        <w:rPr>
          <w:rFonts w:eastAsia="맑은 고딕" w:hint="eastAsia"/>
          <w:b/>
          <w:lang w:eastAsia="ko-KR"/>
        </w:rPr>
        <w:t>3</w:t>
      </w:r>
      <w:r w:rsidRPr="00731EBF">
        <w:rPr>
          <w:rFonts w:eastAsia="맑은 고딕" w:hint="eastAsia"/>
          <w:lang w:eastAsia="ko-KR"/>
        </w:rPr>
        <w:t xml:space="preserve">: </w:t>
      </w:r>
      <w:r>
        <w:rPr>
          <w:rFonts w:eastAsia="맑은 고딕" w:hint="eastAsia"/>
          <w:i/>
          <w:lang w:eastAsia="ko-KR"/>
        </w:rPr>
        <w:t xml:space="preserve">An eD2D UE who wants sidelink discovery transmission in a non-serving carrier </w:t>
      </w:r>
      <w:r w:rsidR="002E1342">
        <w:rPr>
          <w:rFonts w:eastAsia="맑은 고딕" w:hint="eastAsia"/>
          <w:i/>
          <w:lang w:eastAsia="ko-KR"/>
        </w:rPr>
        <w:t>estimates the path-loss based on RSRP measured from the non-serving carrier.</w:t>
      </w:r>
    </w:p>
    <w:p w:rsidR="00F85DE5" w:rsidRPr="00731EBF" w:rsidRDefault="003F68BB" w:rsidP="00F85DE5">
      <w:pPr>
        <w:keepNext/>
        <w:overflowPunct/>
        <w:autoSpaceDE/>
        <w:autoSpaceDN/>
        <w:adjustRightInd/>
        <w:jc w:val="center"/>
        <w:textAlignment w:val="auto"/>
      </w:pPr>
      <w:r w:rsidRPr="003F68BB">
        <w:rPr>
          <w:noProof/>
          <w:lang w:val="en-US" w:eastAsia="ko-KR"/>
        </w:rPr>
        <w:lastRenderedPageBreak/>
        <w:drawing>
          <wp:inline distT="0" distB="0" distL="0" distR="0">
            <wp:extent cx="3030625" cy="1065125"/>
            <wp:effectExtent l="19050" t="0" r="0" b="0"/>
            <wp:docPr id="6" name="개체 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320670" cy="2500330"/>
                      <a:chOff x="1411665" y="2178835"/>
                      <a:chExt cx="6320670" cy="2500330"/>
                    </a:xfrm>
                  </a:grpSpPr>
                  <a:sp>
                    <a:nvSpPr>
                      <a:cNvPr id="8" name="타원 7"/>
                      <a:cNvSpPr/>
                    </a:nvSpPr>
                    <a:spPr>
                      <a:xfrm>
                        <a:off x="1411665" y="2711666"/>
                        <a:ext cx="3320274" cy="1967499"/>
                      </a:xfrm>
                      <a:prstGeom prst="ellipse">
                        <a:avLst/>
                      </a:prstGeom>
                      <a:noFill/>
                      <a:ln>
                        <a:solidFill>
                          <a:schemeClr val="accent1"/>
                        </a:solidFill>
                      </a:ln>
                    </a:spPr>
                    <a:txSp>
                      <a:txBody>
                        <a:bodyPr rtlCol="0" anchor="ctr"/>
                        <a:lstStyle>
                          <a:defPPr>
                            <a:defRPr lang="ko-KR"/>
                          </a:defPPr>
                          <a:lvl1pPr marL="0" algn="l" defTabSz="914307" rtl="0" eaLnBrk="1" latinLnBrk="1" hangingPunct="1">
                            <a:defRPr sz="1800" kern="1200">
                              <a:solidFill>
                                <a:schemeClr val="lt1"/>
                              </a:solidFill>
                              <a:latin typeface="+mn-lt"/>
                              <a:ea typeface="+mn-ea"/>
                              <a:cs typeface="+mn-cs"/>
                            </a:defRPr>
                          </a:lvl1pPr>
                          <a:lvl2pPr marL="457153" algn="l" defTabSz="914307" rtl="0" eaLnBrk="1" latinLnBrk="1" hangingPunct="1">
                            <a:defRPr sz="1800" kern="1200">
                              <a:solidFill>
                                <a:schemeClr val="lt1"/>
                              </a:solidFill>
                              <a:latin typeface="+mn-lt"/>
                              <a:ea typeface="+mn-ea"/>
                              <a:cs typeface="+mn-cs"/>
                            </a:defRPr>
                          </a:lvl2pPr>
                          <a:lvl3pPr marL="914307" algn="l" defTabSz="914307" rtl="0" eaLnBrk="1" latinLnBrk="1" hangingPunct="1">
                            <a:defRPr sz="1800" kern="1200">
                              <a:solidFill>
                                <a:schemeClr val="lt1"/>
                              </a:solidFill>
                              <a:latin typeface="+mn-lt"/>
                              <a:ea typeface="+mn-ea"/>
                              <a:cs typeface="+mn-cs"/>
                            </a:defRPr>
                          </a:lvl3pPr>
                          <a:lvl4pPr marL="1371460" algn="l" defTabSz="914307" rtl="0" eaLnBrk="1" latinLnBrk="1" hangingPunct="1">
                            <a:defRPr sz="1800" kern="1200">
                              <a:solidFill>
                                <a:schemeClr val="lt1"/>
                              </a:solidFill>
                              <a:latin typeface="+mn-lt"/>
                              <a:ea typeface="+mn-ea"/>
                              <a:cs typeface="+mn-cs"/>
                            </a:defRPr>
                          </a:lvl4pPr>
                          <a:lvl5pPr marL="1828613" algn="l" defTabSz="914307" rtl="0" eaLnBrk="1" latinLnBrk="1" hangingPunct="1">
                            <a:defRPr sz="1800" kern="1200">
                              <a:solidFill>
                                <a:schemeClr val="lt1"/>
                              </a:solidFill>
                              <a:latin typeface="+mn-lt"/>
                              <a:ea typeface="+mn-ea"/>
                              <a:cs typeface="+mn-cs"/>
                            </a:defRPr>
                          </a:lvl5pPr>
                          <a:lvl6pPr marL="2285766" algn="l" defTabSz="914307" rtl="0" eaLnBrk="1" latinLnBrk="1" hangingPunct="1">
                            <a:defRPr sz="1800" kern="1200">
                              <a:solidFill>
                                <a:schemeClr val="lt1"/>
                              </a:solidFill>
                              <a:latin typeface="+mn-lt"/>
                              <a:ea typeface="+mn-ea"/>
                              <a:cs typeface="+mn-cs"/>
                            </a:defRPr>
                          </a:lvl6pPr>
                          <a:lvl7pPr marL="2742920" algn="l" defTabSz="914307" rtl="0" eaLnBrk="1" latinLnBrk="1" hangingPunct="1">
                            <a:defRPr sz="1800" kern="1200">
                              <a:solidFill>
                                <a:schemeClr val="lt1"/>
                              </a:solidFill>
                              <a:latin typeface="+mn-lt"/>
                              <a:ea typeface="+mn-ea"/>
                              <a:cs typeface="+mn-cs"/>
                            </a:defRPr>
                          </a:lvl7pPr>
                          <a:lvl8pPr marL="3200074" algn="l" defTabSz="914307" rtl="0" eaLnBrk="1" latinLnBrk="1" hangingPunct="1">
                            <a:defRPr sz="1800" kern="1200">
                              <a:solidFill>
                                <a:schemeClr val="lt1"/>
                              </a:solidFill>
                              <a:latin typeface="+mn-lt"/>
                              <a:ea typeface="+mn-ea"/>
                              <a:cs typeface="+mn-cs"/>
                            </a:defRPr>
                          </a:lvl8pPr>
                          <a:lvl9pPr marL="3657227" algn="l" defTabSz="914307" rtl="0" eaLnBrk="1" latinLnBrk="1" hangingPunct="1">
                            <a:defRPr sz="1800"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pic>
                    <a:nvPicPr>
                      <a:cNvPr id="9" name="Picture 12"/>
                      <a:cNvPicPr>
                        <a:picLocks noChangeAspect="1" noChangeArrowheads="1"/>
                      </a:cNvPicPr>
                    </a:nvPicPr>
                    <a:blipFill>
                      <a:blip r:embed="rId8" cstate="print">
                        <a:extLst>
                          <a:ext uri="{28A0092B-C50C-407E-A947-70E740481C1C}">
                            <a14:useLocalDpi xmlns:o="urn:schemas-microsoft-com:office:office" xmlns:v="urn:schemas-microsoft-com:vml" xmlns:w10="urn:schemas-microsoft-com:office:word" xmlns:w="http://schemas.openxmlformats.org/wordprocessingml/2006/main" xmlns:p="http://schemas.openxmlformats.org/presentationml/2006/main" xmlns:a14="http://schemas.microsoft.com/office/drawing/2010/main" xmlns="" val="0"/>
                          </a:ext>
                        </a:extLst>
                      </a:blip>
                      <a:srcRect/>
                      <a:stretch>
                        <a:fillRect/>
                      </a:stretch>
                    </a:blipFill>
                    <a:spPr bwMode="auto">
                      <a:xfrm>
                        <a:off x="2983301" y="2464587"/>
                        <a:ext cx="413144" cy="1050119"/>
                      </a:xfrm>
                      <a:prstGeom prst="rect">
                        <a:avLst/>
                      </a:prstGeom>
                      <a:noFill/>
                      <a:ln>
                        <a:noFill/>
                      </a:ln>
                      <a:effectLst/>
                      <a:extLst>
                        <a:ext uri="{909E8E84-426E-40DD-AFC4-6F175D3DCCD1}">
                          <a14:hiddenFill xmlns:o="urn:schemas-microsoft-com:office:office" xmlns:v="urn:schemas-microsoft-com:vml" xmlns:w10="urn:schemas-microsoft-com:office:word" xmlns:w="http://schemas.openxmlformats.org/wordprocessingml/2006/main" xmlns:p="http://schemas.openxmlformats.org/presentationml/2006/main" xmlns:a14="http://schemas.microsoft.com/office/drawing/2010/main" xmlns="">
                            <a:solidFill>
                              <a:schemeClr val="accent1"/>
                            </a:solidFill>
                          </a14:hiddenFill>
                        </a:ext>
                        <a:ext uri="{91240B29-F687-4F45-9708-019B960494DF}">
                          <a14:hiddenLine xmlns:o="urn:schemas-microsoft-com:office:office" xmlns:v="urn:schemas-microsoft-com:vml" xmlns:w10="urn:schemas-microsoft-com:office:word" xmlns:w="http://schemas.openxmlformats.org/wordprocessingml/2006/main" xmlns:p="http://schemas.openxmlformats.org/presentationml/2006/main" xmlns:a14="http://schemas.microsoft.com/office/drawing/2010/main" xmlns="" w="9525">
                            <a:solidFill>
                              <a:schemeClr val="tx1"/>
                            </a:solidFill>
                            <a:miter lim="800000"/>
                            <a:headEnd/>
                            <a:tailEnd/>
                          </a14:hiddenLine>
                        </a:ext>
                        <a:ext uri="{AF507438-7753-43E0-B8FC-AC1667EBCBE1}">
                          <a14:hiddenEffects xmlns:o="urn:schemas-microsoft-com:office:office" xmlns:v="urn:schemas-microsoft-com:vml" xmlns:w10="urn:schemas-microsoft-com:office:word" xmlns:w="http://schemas.openxmlformats.org/wordprocessingml/2006/main" xmlns:p="http://schemas.openxmlformats.org/presentationml/2006/main" xmlns:a14="http://schemas.microsoft.com/office/drawing/2010/main" xmlns="">
                            <a:effectLst>
                              <a:outerShdw dist="35921" dir="2700000" algn="ctr" rotWithShape="0">
                                <a:schemeClr val="bg2"/>
                              </a:outerShdw>
                            </a:effectLst>
                          </a14:hiddenEffects>
                        </a:ext>
                      </a:extLst>
                    </a:spPr>
                  </a:pic>
                  <a:sp>
                    <a:nvSpPr>
                      <a:cNvPr id="10" name="순서도: 연결자 9"/>
                      <a:cNvSpPr/>
                    </a:nvSpPr>
                    <a:spPr>
                      <a:xfrm>
                        <a:off x="5150933" y="3821909"/>
                        <a:ext cx="212400" cy="211951"/>
                      </a:xfrm>
                      <a:prstGeom prst="flowChartConnector">
                        <a:avLst/>
                      </a:prstGeom>
                      <a:solidFill>
                        <a:srgbClr val="FFC000"/>
                      </a:solidFill>
                      <a:ln>
                        <a:solidFill>
                          <a:srgbClr val="0000FF"/>
                        </a:solidFill>
                      </a:ln>
                    </a:spPr>
                    <a:txSp>
                      <a:txBody>
                        <a:bodyPr rtlCol="0" anchor="ctr"/>
                        <a:lstStyle>
                          <a:defPPr>
                            <a:defRPr lang="ko-KR"/>
                          </a:defPPr>
                          <a:lvl1pPr marL="0" algn="l" defTabSz="914307" rtl="0" eaLnBrk="1" latinLnBrk="1" hangingPunct="1">
                            <a:defRPr sz="1800" kern="1200">
                              <a:solidFill>
                                <a:schemeClr val="lt1"/>
                              </a:solidFill>
                              <a:latin typeface="+mn-lt"/>
                              <a:ea typeface="+mn-ea"/>
                              <a:cs typeface="+mn-cs"/>
                            </a:defRPr>
                          </a:lvl1pPr>
                          <a:lvl2pPr marL="457153" algn="l" defTabSz="914307" rtl="0" eaLnBrk="1" latinLnBrk="1" hangingPunct="1">
                            <a:defRPr sz="1800" kern="1200">
                              <a:solidFill>
                                <a:schemeClr val="lt1"/>
                              </a:solidFill>
                              <a:latin typeface="+mn-lt"/>
                              <a:ea typeface="+mn-ea"/>
                              <a:cs typeface="+mn-cs"/>
                            </a:defRPr>
                          </a:lvl2pPr>
                          <a:lvl3pPr marL="914307" algn="l" defTabSz="914307" rtl="0" eaLnBrk="1" latinLnBrk="1" hangingPunct="1">
                            <a:defRPr sz="1800" kern="1200">
                              <a:solidFill>
                                <a:schemeClr val="lt1"/>
                              </a:solidFill>
                              <a:latin typeface="+mn-lt"/>
                              <a:ea typeface="+mn-ea"/>
                              <a:cs typeface="+mn-cs"/>
                            </a:defRPr>
                          </a:lvl3pPr>
                          <a:lvl4pPr marL="1371460" algn="l" defTabSz="914307" rtl="0" eaLnBrk="1" latinLnBrk="1" hangingPunct="1">
                            <a:defRPr sz="1800" kern="1200">
                              <a:solidFill>
                                <a:schemeClr val="lt1"/>
                              </a:solidFill>
                              <a:latin typeface="+mn-lt"/>
                              <a:ea typeface="+mn-ea"/>
                              <a:cs typeface="+mn-cs"/>
                            </a:defRPr>
                          </a:lvl4pPr>
                          <a:lvl5pPr marL="1828613" algn="l" defTabSz="914307" rtl="0" eaLnBrk="1" latinLnBrk="1" hangingPunct="1">
                            <a:defRPr sz="1800" kern="1200">
                              <a:solidFill>
                                <a:schemeClr val="lt1"/>
                              </a:solidFill>
                              <a:latin typeface="+mn-lt"/>
                              <a:ea typeface="+mn-ea"/>
                              <a:cs typeface="+mn-cs"/>
                            </a:defRPr>
                          </a:lvl5pPr>
                          <a:lvl6pPr marL="2285766" algn="l" defTabSz="914307" rtl="0" eaLnBrk="1" latinLnBrk="1" hangingPunct="1">
                            <a:defRPr sz="1800" kern="1200">
                              <a:solidFill>
                                <a:schemeClr val="lt1"/>
                              </a:solidFill>
                              <a:latin typeface="+mn-lt"/>
                              <a:ea typeface="+mn-ea"/>
                              <a:cs typeface="+mn-cs"/>
                            </a:defRPr>
                          </a:lvl6pPr>
                          <a:lvl7pPr marL="2742920" algn="l" defTabSz="914307" rtl="0" eaLnBrk="1" latinLnBrk="1" hangingPunct="1">
                            <a:defRPr sz="1800" kern="1200">
                              <a:solidFill>
                                <a:schemeClr val="lt1"/>
                              </a:solidFill>
                              <a:latin typeface="+mn-lt"/>
                              <a:ea typeface="+mn-ea"/>
                              <a:cs typeface="+mn-cs"/>
                            </a:defRPr>
                          </a:lvl7pPr>
                          <a:lvl8pPr marL="3200074" algn="l" defTabSz="914307" rtl="0" eaLnBrk="1" latinLnBrk="1" hangingPunct="1">
                            <a:defRPr sz="1800" kern="1200">
                              <a:solidFill>
                                <a:schemeClr val="lt1"/>
                              </a:solidFill>
                              <a:latin typeface="+mn-lt"/>
                              <a:ea typeface="+mn-ea"/>
                              <a:cs typeface="+mn-cs"/>
                            </a:defRPr>
                          </a:lvl8pPr>
                          <a:lvl9pPr marL="3657227" algn="l" defTabSz="914307" rtl="0" eaLnBrk="1" latinLnBrk="1" hangingPunct="1">
                            <a:defRPr sz="1800"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1" name="직선 화살표 연결선 10"/>
                      <a:cNvCxnSpPr/>
                    </a:nvCxnSpPr>
                    <a:spPr>
                      <a:xfrm>
                        <a:off x="4197747" y="3679033"/>
                        <a:ext cx="857256" cy="214314"/>
                      </a:xfrm>
                      <a:prstGeom prst="straightConnector1">
                        <a:avLst/>
                      </a:prstGeom>
                      <a:ln w="31750">
                        <a:solidFill>
                          <a:schemeClr val="tx2">
                            <a:lumMod val="60000"/>
                            <a:lumOff val="40000"/>
                          </a:schemeClr>
                        </a:solidFill>
                        <a:prstDash val="sysDash"/>
                        <a:headEnd type="none"/>
                        <a:tailEnd type="arrow"/>
                      </a:ln>
                    </a:spPr>
                    <a:style>
                      <a:lnRef idx="1">
                        <a:schemeClr val="accent1"/>
                      </a:lnRef>
                      <a:fillRef idx="0">
                        <a:schemeClr val="accent1"/>
                      </a:fillRef>
                      <a:effectRef idx="0">
                        <a:schemeClr val="accent1"/>
                      </a:effectRef>
                      <a:fontRef idx="minor">
                        <a:schemeClr val="tx1"/>
                      </a:fontRef>
                    </a:style>
                  </a:cxnSp>
                  <a:sp>
                    <a:nvSpPr>
                      <a:cNvPr id="12" name="TextBox 54"/>
                      <a:cNvSpPr txBox="1"/>
                    </a:nvSpPr>
                    <a:spPr>
                      <a:xfrm>
                        <a:off x="1911731" y="2178835"/>
                        <a:ext cx="1143008" cy="461665"/>
                      </a:xfrm>
                      <a:prstGeom prst="rect">
                        <a:avLst/>
                      </a:prstGeom>
                      <a:noFill/>
                    </a:spPr>
                    <a:txSp>
                      <a:txBody>
                        <a:bodyPr wrap="square" rtlCol="0">
                          <a:spAutoFit/>
                        </a:bodyPr>
                        <a:lstStyle>
                          <a:defPPr>
                            <a:defRPr lang="ko-KR"/>
                          </a:defPPr>
                          <a:lvl1pPr marL="0" algn="l" defTabSz="914307" rtl="0" eaLnBrk="1" latinLnBrk="1" hangingPunct="1">
                            <a:defRPr sz="1800" kern="1200">
                              <a:solidFill>
                                <a:schemeClr val="tx1"/>
                              </a:solidFill>
                              <a:latin typeface="+mn-lt"/>
                              <a:ea typeface="+mn-ea"/>
                              <a:cs typeface="+mn-cs"/>
                            </a:defRPr>
                          </a:lvl1pPr>
                          <a:lvl2pPr marL="457153" algn="l" defTabSz="914307" rtl="0" eaLnBrk="1" latinLnBrk="1" hangingPunct="1">
                            <a:defRPr sz="1800" kern="1200">
                              <a:solidFill>
                                <a:schemeClr val="tx1"/>
                              </a:solidFill>
                              <a:latin typeface="+mn-lt"/>
                              <a:ea typeface="+mn-ea"/>
                              <a:cs typeface="+mn-cs"/>
                            </a:defRPr>
                          </a:lvl2pPr>
                          <a:lvl3pPr marL="914307" algn="l" defTabSz="914307" rtl="0" eaLnBrk="1" latinLnBrk="1" hangingPunct="1">
                            <a:defRPr sz="1800" kern="1200">
                              <a:solidFill>
                                <a:schemeClr val="tx1"/>
                              </a:solidFill>
                              <a:latin typeface="+mn-lt"/>
                              <a:ea typeface="+mn-ea"/>
                              <a:cs typeface="+mn-cs"/>
                            </a:defRPr>
                          </a:lvl3pPr>
                          <a:lvl4pPr marL="1371460" algn="l" defTabSz="914307" rtl="0" eaLnBrk="1" latinLnBrk="1" hangingPunct="1">
                            <a:defRPr sz="1800" kern="1200">
                              <a:solidFill>
                                <a:schemeClr val="tx1"/>
                              </a:solidFill>
                              <a:latin typeface="+mn-lt"/>
                              <a:ea typeface="+mn-ea"/>
                              <a:cs typeface="+mn-cs"/>
                            </a:defRPr>
                          </a:lvl4pPr>
                          <a:lvl5pPr marL="1828613" algn="l" defTabSz="914307" rtl="0" eaLnBrk="1" latinLnBrk="1" hangingPunct="1">
                            <a:defRPr sz="1800" kern="1200">
                              <a:solidFill>
                                <a:schemeClr val="tx1"/>
                              </a:solidFill>
                              <a:latin typeface="+mn-lt"/>
                              <a:ea typeface="+mn-ea"/>
                              <a:cs typeface="+mn-cs"/>
                            </a:defRPr>
                          </a:lvl5pPr>
                          <a:lvl6pPr marL="2285766" algn="l" defTabSz="914307" rtl="0" eaLnBrk="1" latinLnBrk="1" hangingPunct="1">
                            <a:defRPr sz="1800" kern="1200">
                              <a:solidFill>
                                <a:schemeClr val="tx1"/>
                              </a:solidFill>
                              <a:latin typeface="+mn-lt"/>
                              <a:ea typeface="+mn-ea"/>
                              <a:cs typeface="+mn-cs"/>
                            </a:defRPr>
                          </a:lvl6pPr>
                          <a:lvl7pPr marL="2742920" algn="l" defTabSz="914307" rtl="0" eaLnBrk="1" latinLnBrk="1" hangingPunct="1">
                            <a:defRPr sz="1800" kern="1200">
                              <a:solidFill>
                                <a:schemeClr val="tx1"/>
                              </a:solidFill>
                              <a:latin typeface="+mn-lt"/>
                              <a:ea typeface="+mn-ea"/>
                              <a:cs typeface="+mn-cs"/>
                            </a:defRPr>
                          </a:lvl7pPr>
                          <a:lvl8pPr marL="3200074" algn="l" defTabSz="914307" rtl="0" eaLnBrk="1" latinLnBrk="1" hangingPunct="1">
                            <a:defRPr sz="1800" kern="1200">
                              <a:solidFill>
                                <a:schemeClr val="tx1"/>
                              </a:solidFill>
                              <a:latin typeface="+mn-lt"/>
                              <a:ea typeface="+mn-ea"/>
                              <a:cs typeface="+mn-cs"/>
                            </a:defRPr>
                          </a:lvl8pPr>
                          <a:lvl9pPr marL="3657227" algn="l" defTabSz="914307" rtl="0" eaLnBrk="1" latinLnBrk="1" hangingPunct="1">
                            <a:defRPr sz="1800" kern="1200">
                              <a:solidFill>
                                <a:schemeClr val="tx1"/>
                              </a:solidFill>
                              <a:latin typeface="+mn-lt"/>
                              <a:ea typeface="+mn-ea"/>
                              <a:cs typeface="+mn-cs"/>
                            </a:defRPr>
                          </a:lvl9pPr>
                        </a:lstStyle>
                        <a:p>
                          <a:pPr algn="ctr"/>
                          <a:r>
                            <a:rPr lang="en-US" altLang="ko-KR" sz="2400" b="1" dirty="0" smtClean="0">
                              <a:latin typeface="Calibri" pitchFamily="34" charset="0"/>
                            </a:rPr>
                            <a:t>eNB-1</a:t>
                          </a:r>
                          <a:endParaRPr lang="ko-KR" altLang="en-US" sz="2400" b="1" dirty="0">
                            <a:latin typeface="Calibri" pitchFamily="34" charset="0"/>
                          </a:endParaRPr>
                        </a:p>
                      </a:txBody>
                      <a:useSpRect/>
                    </a:txSp>
                  </a:sp>
                  <a:sp>
                    <a:nvSpPr>
                      <a:cNvPr id="13" name="TextBox 54"/>
                      <a:cNvSpPr txBox="1"/>
                    </a:nvSpPr>
                    <a:spPr>
                      <a:xfrm>
                        <a:off x="4697813" y="3964785"/>
                        <a:ext cx="1143008" cy="461665"/>
                      </a:xfrm>
                      <a:prstGeom prst="rect">
                        <a:avLst/>
                      </a:prstGeom>
                      <a:noFill/>
                    </a:spPr>
                    <a:txSp>
                      <a:txBody>
                        <a:bodyPr wrap="square" rtlCol="0">
                          <a:spAutoFit/>
                        </a:bodyPr>
                        <a:lstStyle>
                          <a:defPPr>
                            <a:defRPr lang="ko-KR"/>
                          </a:defPPr>
                          <a:lvl1pPr marL="0" algn="l" defTabSz="914307" rtl="0" eaLnBrk="1" latinLnBrk="1" hangingPunct="1">
                            <a:defRPr sz="1800" kern="1200">
                              <a:solidFill>
                                <a:schemeClr val="tx1"/>
                              </a:solidFill>
                              <a:latin typeface="+mn-lt"/>
                              <a:ea typeface="+mn-ea"/>
                              <a:cs typeface="+mn-cs"/>
                            </a:defRPr>
                          </a:lvl1pPr>
                          <a:lvl2pPr marL="457153" algn="l" defTabSz="914307" rtl="0" eaLnBrk="1" latinLnBrk="1" hangingPunct="1">
                            <a:defRPr sz="1800" kern="1200">
                              <a:solidFill>
                                <a:schemeClr val="tx1"/>
                              </a:solidFill>
                              <a:latin typeface="+mn-lt"/>
                              <a:ea typeface="+mn-ea"/>
                              <a:cs typeface="+mn-cs"/>
                            </a:defRPr>
                          </a:lvl2pPr>
                          <a:lvl3pPr marL="914307" algn="l" defTabSz="914307" rtl="0" eaLnBrk="1" latinLnBrk="1" hangingPunct="1">
                            <a:defRPr sz="1800" kern="1200">
                              <a:solidFill>
                                <a:schemeClr val="tx1"/>
                              </a:solidFill>
                              <a:latin typeface="+mn-lt"/>
                              <a:ea typeface="+mn-ea"/>
                              <a:cs typeface="+mn-cs"/>
                            </a:defRPr>
                          </a:lvl3pPr>
                          <a:lvl4pPr marL="1371460" algn="l" defTabSz="914307" rtl="0" eaLnBrk="1" latinLnBrk="1" hangingPunct="1">
                            <a:defRPr sz="1800" kern="1200">
                              <a:solidFill>
                                <a:schemeClr val="tx1"/>
                              </a:solidFill>
                              <a:latin typeface="+mn-lt"/>
                              <a:ea typeface="+mn-ea"/>
                              <a:cs typeface="+mn-cs"/>
                            </a:defRPr>
                          </a:lvl4pPr>
                          <a:lvl5pPr marL="1828613" algn="l" defTabSz="914307" rtl="0" eaLnBrk="1" latinLnBrk="1" hangingPunct="1">
                            <a:defRPr sz="1800" kern="1200">
                              <a:solidFill>
                                <a:schemeClr val="tx1"/>
                              </a:solidFill>
                              <a:latin typeface="+mn-lt"/>
                              <a:ea typeface="+mn-ea"/>
                              <a:cs typeface="+mn-cs"/>
                            </a:defRPr>
                          </a:lvl5pPr>
                          <a:lvl6pPr marL="2285766" algn="l" defTabSz="914307" rtl="0" eaLnBrk="1" latinLnBrk="1" hangingPunct="1">
                            <a:defRPr sz="1800" kern="1200">
                              <a:solidFill>
                                <a:schemeClr val="tx1"/>
                              </a:solidFill>
                              <a:latin typeface="+mn-lt"/>
                              <a:ea typeface="+mn-ea"/>
                              <a:cs typeface="+mn-cs"/>
                            </a:defRPr>
                          </a:lvl6pPr>
                          <a:lvl7pPr marL="2742920" algn="l" defTabSz="914307" rtl="0" eaLnBrk="1" latinLnBrk="1" hangingPunct="1">
                            <a:defRPr sz="1800" kern="1200">
                              <a:solidFill>
                                <a:schemeClr val="tx1"/>
                              </a:solidFill>
                              <a:latin typeface="+mn-lt"/>
                              <a:ea typeface="+mn-ea"/>
                              <a:cs typeface="+mn-cs"/>
                            </a:defRPr>
                          </a:lvl7pPr>
                          <a:lvl8pPr marL="3200074" algn="l" defTabSz="914307" rtl="0" eaLnBrk="1" latinLnBrk="1" hangingPunct="1">
                            <a:defRPr sz="1800" kern="1200">
                              <a:solidFill>
                                <a:schemeClr val="tx1"/>
                              </a:solidFill>
                              <a:latin typeface="+mn-lt"/>
                              <a:ea typeface="+mn-ea"/>
                              <a:cs typeface="+mn-cs"/>
                            </a:defRPr>
                          </a:lvl8pPr>
                          <a:lvl9pPr marL="3657227" algn="l" defTabSz="914307" rtl="0" eaLnBrk="1" latinLnBrk="1" hangingPunct="1">
                            <a:defRPr sz="1800" kern="1200">
                              <a:solidFill>
                                <a:schemeClr val="tx1"/>
                              </a:solidFill>
                              <a:latin typeface="+mn-lt"/>
                              <a:ea typeface="+mn-ea"/>
                              <a:cs typeface="+mn-cs"/>
                            </a:defRPr>
                          </a:lvl9pPr>
                        </a:lstStyle>
                        <a:p>
                          <a:pPr algn="ctr"/>
                          <a:r>
                            <a:rPr lang="en-US" altLang="ko-KR" sz="2400" b="1" dirty="0" smtClean="0">
                              <a:latin typeface="Calibri" pitchFamily="34" charset="0"/>
                            </a:rPr>
                            <a:t>RX</a:t>
                          </a:r>
                          <a:endParaRPr lang="ko-KR" altLang="en-US" sz="2400" b="1" dirty="0">
                            <a:latin typeface="Calibri" pitchFamily="34" charset="0"/>
                          </a:endParaRPr>
                        </a:p>
                      </a:txBody>
                      <a:useSpRect/>
                    </a:txSp>
                  </a:sp>
                  <a:sp>
                    <a:nvSpPr>
                      <a:cNvPr id="14" name="TextBox 54"/>
                      <a:cNvSpPr txBox="1"/>
                    </a:nvSpPr>
                    <a:spPr>
                      <a:xfrm>
                        <a:off x="3269053" y="3821909"/>
                        <a:ext cx="1143008" cy="461665"/>
                      </a:xfrm>
                      <a:prstGeom prst="rect">
                        <a:avLst/>
                      </a:prstGeom>
                      <a:noFill/>
                    </a:spPr>
                    <a:txSp>
                      <a:txBody>
                        <a:bodyPr wrap="square" rtlCol="0">
                          <a:spAutoFit/>
                        </a:bodyPr>
                        <a:lstStyle>
                          <a:defPPr>
                            <a:defRPr lang="ko-KR"/>
                          </a:defPPr>
                          <a:lvl1pPr marL="0" algn="l" defTabSz="914307" rtl="0" eaLnBrk="1" latinLnBrk="1" hangingPunct="1">
                            <a:defRPr sz="1800" kern="1200">
                              <a:solidFill>
                                <a:schemeClr val="tx1"/>
                              </a:solidFill>
                              <a:latin typeface="+mn-lt"/>
                              <a:ea typeface="+mn-ea"/>
                              <a:cs typeface="+mn-cs"/>
                            </a:defRPr>
                          </a:lvl1pPr>
                          <a:lvl2pPr marL="457153" algn="l" defTabSz="914307" rtl="0" eaLnBrk="1" latinLnBrk="1" hangingPunct="1">
                            <a:defRPr sz="1800" kern="1200">
                              <a:solidFill>
                                <a:schemeClr val="tx1"/>
                              </a:solidFill>
                              <a:latin typeface="+mn-lt"/>
                              <a:ea typeface="+mn-ea"/>
                              <a:cs typeface="+mn-cs"/>
                            </a:defRPr>
                          </a:lvl2pPr>
                          <a:lvl3pPr marL="914307" algn="l" defTabSz="914307" rtl="0" eaLnBrk="1" latinLnBrk="1" hangingPunct="1">
                            <a:defRPr sz="1800" kern="1200">
                              <a:solidFill>
                                <a:schemeClr val="tx1"/>
                              </a:solidFill>
                              <a:latin typeface="+mn-lt"/>
                              <a:ea typeface="+mn-ea"/>
                              <a:cs typeface="+mn-cs"/>
                            </a:defRPr>
                          </a:lvl3pPr>
                          <a:lvl4pPr marL="1371460" algn="l" defTabSz="914307" rtl="0" eaLnBrk="1" latinLnBrk="1" hangingPunct="1">
                            <a:defRPr sz="1800" kern="1200">
                              <a:solidFill>
                                <a:schemeClr val="tx1"/>
                              </a:solidFill>
                              <a:latin typeface="+mn-lt"/>
                              <a:ea typeface="+mn-ea"/>
                              <a:cs typeface="+mn-cs"/>
                            </a:defRPr>
                          </a:lvl4pPr>
                          <a:lvl5pPr marL="1828613" algn="l" defTabSz="914307" rtl="0" eaLnBrk="1" latinLnBrk="1" hangingPunct="1">
                            <a:defRPr sz="1800" kern="1200">
                              <a:solidFill>
                                <a:schemeClr val="tx1"/>
                              </a:solidFill>
                              <a:latin typeface="+mn-lt"/>
                              <a:ea typeface="+mn-ea"/>
                              <a:cs typeface="+mn-cs"/>
                            </a:defRPr>
                          </a:lvl5pPr>
                          <a:lvl6pPr marL="2285766" algn="l" defTabSz="914307" rtl="0" eaLnBrk="1" latinLnBrk="1" hangingPunct="1">
                            <a:defRPr sz="1800" kern="1200">
                              <a:solidFill>
                                <a:schemeClr val="tx1"/>
                              </a:solidFill>
                              <a:latin typeface="+mn-lt"/>
                              <a:ea typeface="+mn-ea"/>
                              <a:cs typeface="+mn-cs"/>
                            </a:defRPr>
                          </a:lvl6pPr>
                          <a:lvl7pPr marL="2742920" algn="l" defTabSz="914307" rtl="0" eaLnBrk="1" latinLnBrk="1" hangingPunct="1">
                            <a:defRPr sz="1800" kern="1200">
                              <a:solidFill>
                                <a:schemeClr val="tx1"/>
                              </a:solidFill>
                              <a:latin typeface="+mn-lt"/>
                              <a:ea typeface="+mn-ea"/>
                              <a:cs typeface="+mn-cs"/>
                            </a:defRPr>
                          </a:lvl7pPr>
                          <a:lvl8pPr marL="3200074" algn="l" defTabSz="914307" rtl="0" eaLnBrk="1" latinLnBrk="1" hangingPunct="1">
                            <a:defRPr sz="1800" kern="1200">
                              <a:solidFill>
                                <a:schemeClr val="tx1"/>
                              </a:solidFill>
                              <a:latin typeface="+mn-lt"/>
                              <a:ea typeface="+mn-ea"/>
                              <a:cs typeface="+mn-cs"/>
                            </a:defRPr>
                          </a:lvl8pPr>
                          <a:lvl9pPr marL="3657227" algn="l" defTabSz="914307" rtl="0" eaLnBrk="1" latinLnBrk="1" hangingPunct="1">
                            <a:defRPr sz="1800" kern="1200">
                              <a:solidFill>
                                <a:schemeClr val="tx1"/>
                              </a:solidFill>
                              <a:latin typeface="+mn-lt"/>
                              <a:ea typeface="+mn-ea"/>
                              <a:cs typeface="+mn-cs"/>
                            </a:defRPr>
                          </a:lvl9pPr>
                        </a:lstStyle>
                        <a:p>
                          <a:pPr algn="ctr"/>
                          <a:r>
                            <a:rPr lang="en-US" altLang="ko-KR" sz="2400" b="1" dirty="0" smtClean="0">
                              <a:latin typeface="Calibri" pitchFamily="34" charset="0"/>
                            </a:rPr>
                            <a:t>DUE-1</a:t>
                          </a:r>
                          <a:endParaRPr lang="ko-KR" altLang="en-US" sz="2400" b="1" dirty="0">
                            <a:latin typeface="Calibri" pitchFamily="34" charset="0"/>
                          </a:endParaRPr>
                        </a:p>
                      </a:txBody>
                      <a:useSpRect/>
                    </a:txSp>
                  </a:sp>
                  <a:sp>
                    <a:nvSpPr>
                      <a:cNvPr id="15" name="타원 14"/>
                      <a:cNvSpPr/>
                    </a:nvSpPr>
                    <a:spPr>
                      <a:xfrm>
                        <a:off x="4412061" y="2711666"/>
                        <a:ext cx="3320274" cy="1967499"/>
                      </a:xfrm>
                      <a:prstGeom prst="ellipse">
                        <a:avLst/>
                      </a:prstGeom>
                      <a:noFill/>
                      <a:ln>
                        <a:solidFill>
                          <a:schemeClr val="accent1"/>
                        </a:solidFill>
                        <a:prstDash val="sysDash"/>
                      </a:ln>
                    </a:spPr>
                    <a:txSp>
                      <a:txBody>
                        <a:bodyPr rtlCol="0" anchor="ctr"/>
                        <a:lstStyle>
                          <a:defPPr>
                            <a:defRPr lang="ko-KR"/>
                          </a:defPPr>
                          <a:lvl1pPr marL="0" algn="l" defTabSz="914307" rtl="0" eaLnBrk="1" latinLnBrk="1" hangingPunct="1">
                            <a:defRPr sz="1800" kern="1200">
                              <a:solidFill>
                                <a:schemeClr val="lt1"/>
                              </a:solidFill>
                              <a:latin typeface="+mn-lt"/>
                              <a:ea typeface="+mn-ea"/>
                              <a:cs typeface="+mn-cs"/>
                            </a:defRPr>
                          </a:lvl1pPr>
                          <a:lvl2pPr marL="457153" algn="l" defTabSz="914307" rtl="0" eaLnBrk="1" latinLnBrk="1" hangingPunct="1">
                            <a:defRPr sz="1800" kern="1200">
                              <a:solidFill>
                                <a:schemeClr val="lt1"/>
                              </a:solidFill>
                              <a:latin typeface="+mn-lt"/>
                              <a:ea typeface="+mn-ea"/>
                              <a:cs typeface="+mn-cs"/>
                            </a:defRPr>
                          </a:lvl2pPr>
                          <a:lvl3pPr marL="914307" algn="l" defTabSz="914307" rtl="0" eaLnBrk="1" latinLnBrk="1" hangingPunct="1">
                            <a:defRPr sz="1800" kern="1200">
                              <a:solidFill>
                                <a:schemeClr val="lt1"/>
                              </a:solidFill>
                              <a:latin typeface="+mn-lt"/>
                              <a:ea typeface="+mn-ea"/>
                              <a:cs typeface="+mn-cs"/>
                            </a:defRPr>
                          </a:lvl3pPr>
                          <a:lvl4pPr marL="1371460" algn="l" defTabSz="914307" rtl="0" eaLnBrk="1" latinLnBrk="1" hangingPunct="1">
                            <a:defRPr sz="1800" kern="1200">
                              <a:solidFill>
                                <a:schemeClr val="lt1"/>
                              </a:solidFill>
                              <a:latin typeface="+mn-lt"/>
                              <a:ea typeface="+mn-ea"/>
                              <a:cs typeface="+mn-cs"/>
                            </a:defRPr>
                          </a:lvl4pPr>
                          <a:lvl5pPr marL="1828613" algn="l" defTabSz="914307" rtl="0" eaLnBrk="1" latinLnBrk="1" hangingPunct="1">
                            <a:defRPr sz="1800" kern="1200">
                              <a:solidFill>
                                <a:schemeClr val="lt1"/>
                              </a:solidFill>
                              <a:latin typeface="+mn-lt"/>
                              <a:ea typeface="+mn-ea"/>
                              <a:cs typeface="+mn-cs"/>
                            </a:defRPr>
                          </a:lvl5pPr>
                          <a:lvl6pPr marL="2285766" algn="l" defTabSz="914307" rtl="0" eaLnBrk="1" latinLnBrk="1" hangingPunct="1">
                            <a:defRPr sz="1800" kern="1200">
                              <a:solidFill>
                                <a:schemeClr val="lt1"/>
                              </a:solidFill>
                              <a:latin typeface="+mn-lt"/>
                              <a:ea typeface="+mn-ea"/>
                              <a:cs typeface="+mn-cs"/>
                            </a:defRPr>
                          </a:lvl6pPr>
                          <a:lvl7pPr marL="2742920" algn="l" defTabSz="914307" rtl="0" eaLnBrk="1" latinLnBrk="1" hangingPunct="1">
                            <a:defRPr sz="1800" kern="1200">
                              <a:solidFill>
                                <a:schemeClr val="lt1"/>
                              </a:solidFill>
                              <a:latin typeface="+mn-lt"/>
                              <a:ea typeface="+mn-ea"/>
                              <a:cs typeface="+mn-cs"/>
                            </a:defRPr>
                          </a:lvl7pPr>
                          <a:lvl8pPr marL="3200074" algn="l" defTabSz="914307" rtl="0" eaLnBrk="1" latinLnBrk="1" hangingPunct="1">
                            <a:defRPr sz="1800" kern="1200">
                              <a:solidFill>
                                <a:schemeClr val="lt1"/>
                              </a:solidFill>
                              <a:latin typeface="+mn-lt"/>
                              <a:ea typeface="+mn-ea"/>
                              <a:cs typeface="+mn-cs"/>
                            </a:defRPr>
                          </a:lvl8pPr>
                          <a:lvl9pPr marL="3657227" algn="l" defTabSz="914307" rtl="0" eaLnBrk="1" latinLnBrk="1" hangingPunct="1">
                            <a:defRPr sz="1800"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pic>
                    <a:nvPicPr>
                      <a:cNvPr id="16" name="Picture 12"/>
                      <a:cNvPicPr>
                        <a:picLocks noChangeAspect="1" noChangeArrowheads="1"/>
                      </a:cNvPicPr>
                    </a:nvPicPr>
                    <a:blipFill>
                      <a:blip r:embed="rId8" cstate="print">
                        <a:extLst>
                          <a:ext uri="{28A0092B-C50C-407E-A947-70E740481C1C}">
                            <a14:useLocalDpi xmlns:o="urn:schemas-microsoft-com:office:office" xmlns:v="urn:schemas-microsoft-com:vml" xmlns:w10="urn:schemas-microsoft-com:office:word" xmlns:w="http://schemas.openxmlformats.org/wordprocessingml/2006/main" xmlns:p="http://schemas.openxmlformats.org/presentationml/2006/main" xmlns:a14="http://schemas.microsoft.com/office/drawing/2010/main" xmlns="" val="0"/>
                          </a:ext>
                        </a:extLst>
                      </a:blip>
                      <a:srcRect/>
                      <a:stretch>
                        <a:fillRect/>
                      </a:stretch>
                    </a:blipFill>
                    <a:spPr bwMode="auto">
                      <a:xfrm>
                        <a:off x="5912259" y="2393149"/>
                        <a:ext cx="413144" cy="1050119"/>
                      </a:xfrm>
                      <a:prstGeom prst="rect">
                        <a:avLst/>
                      </a:prstGeom>
                      <a:noFill/>
                      <a:ln>
                        <a:noFill/>
                      </a:ln>
                      <a:effectLst/>
                      <a:extLst>
                        <a:ext uri="{909E8E84-426E-40DD-AFC4-6F175D3DCCD1}">
                          <a14:hiddenFill xmlns:o="urn:schemas-microsoft-com:office:office" xmlns:v="urn:schemas-microsoft-com:vml" xmlns:w10="urn:schemas-microsoft-com:office:word" xmlns:w="http://schemas.openxmlformats.org/wordprocessingml/2006/main" xmlns:p="http://schemas.openxmlformats.org/presentationml/2006/main" xmlns:a14="http://schemas.microsoft.com/office/drawing/2010/main" xmlns="">
                            <a:solidFill>
                              <a:schemeClr val="accent1"/>
                            </a:solidFill>
                          </a14:hiddenFill>
                        </a:ext>
                        <a:ext uri="{91240B29-F687-4F45-9708-019B960494DF}">
                          <a14:hiddenLine xmlns:o="urn:schemas-microsoft-com:office:office" xmlns:v="urn:schemas-microsoft-com:vml" xmlns:w10="urn:schemas-microsoft-com:office:word" xmlns:w="http://schemas.openxmlformats.org/wordprocessingml/2006/main" xmlns:p="http://schemas.openxmlformats.org/presentationml/2006/main" xmlns:a14="http://schemas.microsoft.com/office/drawing/2010/main" xmlns="" w="9525">
                            <a:solidFill>
                              <a:schemeClr val="tx1"/>
                            </a:solidFill>
                            <a:miter lim="800000"/>
                            <a:headEnd/>
                            <a:tailEnd/>
                          </a14:hiddenLine>
                        </a:ext>
                        <a:ext uri="{AF507438-7753-43E0-B8FC-AC1667EBCBE1}">
                          <a14:hiddenEffects xmlns:o="urn:schemas-microsoft-com:office:office" xmlns:v="urn:schemas-microsoft-com:vml" xmlns:w10="urn:schemas-microsoft-com:office:word" xmlns:w="http://schemas.openxmlformats.org/wordprocessingml/2006/main" xmlns:p="http://schemas.openxmlformats.org/presentationml/2006/main" xmlns:a14="http://schemas.microsoft.com/office/drawing/2010/main" xmlns="">
                            <a:effectLst>
                              <a:outerShdw dist="35921" dir="2700000" algn="ctr" rotWithShape="0">
                                <a:schemeClr val="bg2"/>
                              </a:outerShdw>
                            </a:effectLst>
                          </a14:hiddenEffects>
                        </a:ext>
                      </a:extLst>
                    </a:spPr>
                  </a:pic>
                  <a:sp>
                    <a:nvSpPr>
                      <a:cNvPr id="17" name="TextBox 54"/>
                      <a:cNvSpPr txBox="1"/>
                    </a:nvSpPr>
                    <a:spPr>
                      <a:xfrm>
                        <a:off x="6198011" y="2184961"/>
                        <a:ext cx="1143008" cy="461665"/>
                      </a:xfrm>
                      <a:prstGeom prst="rect">
                        <a:avLst/>
                      </a:prstGeom>
                      <a:noFill/>
                    </a:spPr>
                    <a:txSp>
                      <a:txBody>
                        <a:bodyPr wrap="square" rtlCol="0">
                          <a:spAutoFit/>
                        </a:bodyPr>
                        <a:lstStyle>
                          <a:defPPr>
                            <a:defRPr lang="ko-KR"/>
                          </a:defPPr>
                          <a:lvl1pPr marL="0" algn="l" defTabSz="914307" rtl="0" eaLnBrk="1" latinLnBrk="1" hangingPunct="1">
                            <a:defRPr sz="1800" kern="1200">
                              <a:solidFill>
                                <a:schemeClr val="tx1"/>
                              </a:solidFill>
                              <a:latin typeface="+mn-lt"/>
                              <a:ea typeface="+mn-ea"/>
                              <a:cs typeface="+mn-cs"/>
                            </a:defRPr>
                          </a:lvl1pPr>
                          <a:lvl2pPr marL="457153" algn="l" defTabSz="914307" rtl="0" eaLnBrk="1" latinLnBrk="1" hangingPunct="1">
                            <a:defRPr sz="1800" kern="1200">
                              <a:solidFill>
                                <a:schemeClr val="tx1"/>
                              </a:solidFill>
                              <a:latin typeface="+mn-lt"/>
                              <a:ea typeface="+mn-ea"/>
                              <a:cs typeface="+mn-cs"/>
                            </a:defRPr>
                          </a:lvl2pPr>
                          <a:lvl3pPr marL="914307" algn="l" defTabSz="914307" rtl="0" eaLnBrk="1" latinLnBrk="1" hangingPunct="1">
                            <a:defRPr sz="1800" kern="1200">
                              <a:solidFill>
                                <a:schemeClr val="tx1"/>
                              </a:solidFill>
                              <a:latin typeface="+mn-lt"/>
                              <a:ea typeface="+mn-ea"/>
                              <a:cs typeface="+mn-cs"/>
                            </a:defRPr>
                          </a:lvl3pPr>
                          <a:lvl4pPr marL="1371460" algn="l" defTabSz="914307" rtl="0" eaLnBrk="1" latinLnBrk="1" hangingPunct="1">
                            <a:defRPr sz="1800" kern="1200">
                              <a:solidFill>
                                <a:schemeClr val="tx1"/>
                              </a:solidFill>
                              <a:latin typeface="+mn-lt"/>
                              <a:ea typeface="+mn-ea"/>
                              <a:cs typeface="+mn-cs"/>
                            </a:defRPr>
                          </a:lvl4pPr>
                          <a:lvl5pPr marL="1828613" algn="l" defTabSz="914307" rtl="0" eaLnBrk="1" latinLnBrk="1" hangingPunct="1">
                            <a:defRPr sz="1800" kern="1200">
                              <a:solidFill>
                                <a:schemeClr val="tx1"/>
                              </a:solidFill>
                              <a:latin typeface="+mn-lt"/>
                              <a:ea typeface="+mn-ea"/>
                              <a:cs typeface="+mn-cs"/>
                            </a:defRPr>
                          </a:lvl5pPr>
                          <a:lvl6pPr marL="2285766" algn="l" defTabSz="914307" rtl="0" eaLnBrk="1" latinLnBrk="1" hangingPunct="1">
                            <a:defRPr sz="1800" kern="1200">
                              <a:solidFill>
                                <a:schemeClr val="tx1"/>
                              </a:solidFill>
                              <a:latin typeface="+mn-lt"/>
                              <a:ea typeface="+mn-ea"/>
                              <a:cs typeface="+mn-cs"/>
                            </a:defRPr>
                          </a:lvl6pPr>
                          <a:lvl7pPr marL="2742920" algn="l" defTabSz="914307" rtl="0" eaLnBrk="1" latinLnBrk="1" hangingPunct="1">
                            <a:defRPr sz="1800" kern="1200">
                              <a:solidFill>
                                <a:schemeClr val="tx1"/>
                              </a:solidFill>
                              <a:latin typeface="+mn-lt"/>
                              <a:ea typeface="+mn-ea"/>
                              <a:cs typeface="+mn-cs"/>
                            </a:defRPr>
                          </a:lvl7pPr>
                          <a:lvl8pPr marL="3200074" algn="l" defTabSz="914307" rtl="0" eaLnBrk="1" latinLnBrk="1" hangingPunct="1">
                            <a:defRPr sz="1800" kern="1200">
                              <a:solidFill>
                                <a:schemeClr val="tx1"/>
                              </a:solidFill>
                              <a:latin typeface="+mn-lt"/>
                              <a:ea typeface="+mn-ea"/>
                              <a:cs typeface="+mn-cs"/>
                            </a:defRPr>
                          </a:lvl8pPr>
                          <a:lvl9pPr marL="3657227" algn="l" defTabSz="914307" rtl="0" eaLnBrk="1" latinLnBrk="1" hangingPunct="1">
                            <a:defRPr sz="1800" kern="1200">
                              <a:solidFill>
                                <a:schemeClr val="tx1"/>
                              </a:solidFill>
                              <a:latin typeface="+mn-lt"/>
                              <a:ea typeface="+mn-ea"/>
                              <a:cs typeface="+mn-cs"/>
                            </a:defRPr>
                          </a:lvl9pPr>
                        </a:lstStyle>
                        <a:p>
                          <a:pPr algn="ctr"/>
                          <a:r>
                            <a:rPr lang="en-US" altLang="ko-KR" sz="2400" b="1" dirty="0" smtClean="0">
                              <a:latin typeface="Calibri" pitchFamily="34" charset="0"/>
                            </a:rPr>
                            <a:t>eNB-2</a:t>
                          </a:r>
                          <a:endParaRPr lang="ko-KR" altLang="en-US" sz="2400" b="1" dirty="0">
                            <a:latin typeface="Calibri" pitchFamily="34" charset="0"/>
                          </a:endParaRPr>
                        </a:p>
                      </a:txBody>
                      <a:useSpRect/>
                    </a:txSp>
                  </a:sp>
                  <a:sp>
                    <a:nvSpPr>
                      <a:cNvPr id="18" name="순서도: 연결자 17"/>
                      <a:cNvSpPr/>
                    </a:nvSpPr>
                    <a:spPr>
                      <a:xfrm>
                        <a:off x="3911995" y="3536157"/>
                        <a:ext cx="212400" cy="211951"/>
                      </a:xfrm>
                      <a:prstGeom prst="flowChartConnector">
                        <a:avLst/>
                      </a:prstGeom>
                      <a:solidFill>
                        <a:srgbClr val="FFC000"/>
                      </a:solidFill>
                      <a:ln>
                        <a:solidFill>
                          <a:srgbClr val="0000FF"/>
                        </a:solidFill>
                      </a:ln>
                    </a:spPr>
                    <a:txSp>
                      <a:txBody>
                        <a:bodyPr rtlCol="0" anchor="ctr"/>
                        <a:lstStyle>
                          <a:defPPr>
                            <a:defRPr lang="ko-KR"/>
                          </a:defPPr>
                          <a:lvl1pPr marL="0" algn="l" defTabSz="914307" rtl="0" eaLnBrk="1" latinLnBrk="1" hangingPunct="1">
                            <a:defRPr sz="1800" kern="1200">
                              <a:solidFill>
                                <a:schemeClr val="lt1"/>
                              </a:solidFill>
                              <a:latin typeface="+mn-lt"/>
                              <a:ea typeface="+mn-ea"/>
                              <a:cs typeface="+mn-cs"/>
                            </a:defRPr>
                          </a:lvl1pPr>
                          <a:lvl2pPr marL="457153" algn="l" defTabSz="914307" rtl="0" eaLnBrk="1" latinLnBrk="1" hangingPunct="1">
                            <a:defRPr sz="1800" kern="1200">
                              <a:solidFill>
                                <a:schemeClr val="lt1"/>
                              </a:solidFill>
                              <a:latin typeface="+mn-lt"/>
                              <a:ea typeface="+mn-ea"/>
                              <a:cs typeface="+mn-cs"/>
                            </a:defRPr>
                          </a:lvl2pPr>
                          <a:lvl3pPr marL="914307" algn="l" defTabSz="914307" rtl="0" eaLnBrk="1" latinLnBrk="1" hangingPunct="1">
                            <a:defRPr sz="1800" kern="1200">
                              <a:solidFill>
                                <a:schemeClr val="lt1"/>
                              </a:solidFill>
                              <a:latin typeface="+mn-lt"/>
                              <a:ea typeface="+mn-ea"/>
                              <a:cs typeface="+mn-cs"/>
                            </a:defRPr>
                          </a:lvl3pPr>
                          <a:lvl4pPr marL="1371460" algn="l" defTabSz="914307" rtl="0" eaLnBrk="1" latinLnBrk="1" hangingPunct="1">
                            <a:defRPr sz="1800" kern="1200">
                              <a:solidFill>
                                <a:schemeClr val="lt1"/>
                              </a:solidFill>
                              <a:latin typeface="+mn-lt"/>
                              <a:ea typeface="+mn-ea"/>
                              <a:cs typeface="+mn-cs"/>
                            </a:defRPr>
                          </a:lvl4pPr>
                          <a:lvl5pPr marL="1828613" algn="l" defTabSz="914307" rtl="0" eaLnBrk="1" latinLnBrk="1" hangingPunct="1">
                            <a:defRPr sz="1800" kern="1200">
                              <a:solidFill>
                                <a:schemeClr val="lt1"/>
                              </a:solidFill>
                              <a:latin typeface="+mn-lt"/>
                              <a:ea typeface="+mn-ea"/>
                              <a:cs typeface="+mn-cs"/>
                            </a:defRPr>
                          </a:lvl5pPr>
                          <a:lvl6pPr marL="2285766" algn="l" defTabSz="914307" rtl="0" eaLnBrk="1" latinLnBrk="1" hangingPunct="1">
                            <a:defRPr sz="1800" kern="1200">
                              <a:solidFill>
                                <a:schemeClr val="lt1"/>
                              </a:solidFill>
                              <a:latin typeface="+mn-lt"/>
                              <a:ea typeface="+mn-ea"/>
                              <a:cs typeface="+mn-cs"/>
                            </a:defRPr>
                          </a:lvl6pPr>
                          <a:lvl7pPr marL="2742920" algn="l" defTabSz="914307" rtl="0" eaLnBrk="1" latinLnBrk="1" hangingPunct="1">
                            <a:defRPr sz="1800" kern="1200">
                              <a:solidFill>
                                <a:schemeClr val="lt1"/>
                              </a:solidFill>
                              <a:latin typeface="+mn-lt"/>
                              <a:ea typeface="+mn-ea"/>
                              <a:cs typeface="+mn-cs"/>
                            </a:defRPr>
                          </a:lvl7pPr>
                          <a:lvl8pPr marL="3200074" algn="l" defTabSz="914307" rtl="0" eaLnBrk="1" latinLnBrk="1" hangingPunct="1">
                            <a:defRPr sz="1800" kern="1200">
                              <a:solidFill>
                                <a:schemeClr val="lt1"/>
                              </a:solidFill>
                              <a:latin typeface="+mn-lt"/>
                              <a:ea typeface="+mn-ea"/>
                              <a:cs typeface="+mn-cs"/>
                            </a:defRPr>
                          </a:lvl8pPr>
                          <a:lvl9pPr marL="3657227" algn="l" defTabSz="914307" rtl="0" eaLnBrk="1" latinLnBrk="1" hangingPunct="1">
                            <a:defRPr sz="1800"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순서도: 연결자 18"/>
                      <a:cNvSpPr/>
                    </a:nvSpPr>
                    <a:spPr>
                      <a:xfrm>
                        <a:off x="6055135" y="3607595"/>
                        <a:ext cx="212400" cy="211951"/>
                      </a:xfrm>
                      <a:prstGeom prst="flowChartConnector">
                        <a:avLst/>
                      </a:prstGeom>
                      <a:solidFill>
                        <a:srgbClr val="FFC000"/>
                      </a:solidFill>
                      <a:ln>
                        <a:solidFill>
                          <a:srgbClr val="0000FF"/>
                        </a:solidFill>
                      </a:ln>
                    </a:spPr>
                    <a:txSp>
                      <a:txBody>
                        <a:bodyPr rtlCol="0" anchor="ctr"/>
                        <a:lstStyle>
                          <a:defPPr>
                            <a:defRPr lang="ko-KR"/>
                          </a:defPPr>
                          <a:lvl1pPr marL="0" algn="l" defTabSz="914307" rtl="0" eaLnBrk="1" latinLnBrk="1" hangingPunct="1">
                            <a:defRPr sz="1800" kern="1200">
                              <a:solidFill>
                                <a:schemeClr val="lt1"/>
                              </a:solidFill>
                              <a:latin typeface="+mn-lt"/>
                              <a:ea typeface="+mn-ea"/>
                              <a:cs typeface="+mn-cs"/>
                            </a:defRPr>
                          </a:lvl1pPr>
                          <a:lvl2pPr marL="457153" algn="l" defTabSz="914307" rtl="0" eaLnBrk="1" latinLnBrk="1" hangingPunct="1">
                            <a:defRPr sz="1800" kern="1200">
                              <a:solidFill>
                                <a:schemeClr val="lt1"/>
                              </a:solidFill>
                              <a:latin typeface="+mn-lt"/>
                              <a:ea typeface="+mn-ea"/>
                              <a:cs typeface="+mn-cs"/>
                            </a:defRPr>
                          </a:lvl2pPr>
                          <a:lvl3pPr marL="914307" algn="l" defTabSz="914307" rtl="0" eaLnBrk="1" latinLnBrk="1" hangingPunct="1">
                            <a:defRPr sz="1800" kern="1200">
                              <a:solidFill>
                                <a:schemeClr val="lt1"/>
                              </a:solidFill>
                              <a:latin typeface="+mn-lt"/>
                              <a:ea typeface="+mn-ea"/>
                              <a:cs typeface="+mn-cs"/>
                            </a:defRPr>
                          </a:lvl3pPr>
                          <a:lvl4pPr marL="1371460" algn="l" defTabSz="914307" rtl="0" eaLnBrk="1" latinLnBrk="1" hangingPunct="1">
                            <a:defRPr sz="1800" kern="1200">
                              <a:solidFill>
                                <a:schemeClr val="lt1"/>
                              </a:solidFill>
                              <a:latin typeface="+mn-lt"/>
                              <a:ea typeface="+mn-ea"/>
                              <a:cs typeface="+mn-cs"/>
                            </a:defRPr>
                          </a:lvl4pPr>
                          <a:lvl5pPr marL="1828613" algn="l" defTabSz="914307" rtl="0" eaLnBrk="1" latinLnBrk="1" hangingPunct="1">
                            <a:defRPr sz="1800" kern="1200">
                              <a:solidFill>
                                <a:schemeClr val="lt1"/>
                              </a:solidFill>
                              <a:latin typeface="+mn-lt"/>
                              <a:ea typeface="+mn-ea"/>
                              <a:cs typeface="+mn-cs"/>
                            </a:defRPr>
                          </a:lvl5pPr>
                          <a:lvl6pPr marL="2285766" algn="l" defTabSz="914307" rtl="0" eaLnBrk="1" latinLnBrk="1" hangingPunct="1">
                            <a:defRPr sz="1800" kern="1200">
                              <a:solidFill>
                                <a:schemeClr val="lt1"/>
                              </a:solidFill>
                              <a:latin typeface="+mn-lt"/>
                              <a:ea typeface="+mn-ea"/>
                              <a:cs typeface="+mn-cs"/>
                            </a:defRPr>
                          </a:lvl6pPr>
                          <a:lvl7pPr marL="2742920" algn="l" defTabSz="914307" rtl="0" eaLnBrk="1" latinLnBrk="1" hangingPunct="1">
                            <a:defRPr sz="1800" kern="1200">
                              <a:solidFill>
                                <a:schemeClr val="lt1"/>
                              </a:solidFill>
                              <a:latin typeface="+mn-lt"/>
                              <a:ea typeface="+mn-ea"/>
                              <a:cs typeface="+mn-cs"/>
                            </a:defRPr>
                          </a:lvl7pPr>
                          <a:lvl8pPr marL="3200074" algn="l" defTabSz="914307" rtl="0" eaLnBrk="1" latinLnBrk="1" hangingPunct="1">
                            <a:defRPr sz="1800" kern="1200">
                              <a:solidFill>
                                <a:schemeClr val="lt1"/>
                              </a:solidFill>
                              <a:latin typeface="+mn-lt"/>
                              <a:ea typeface="+mn-ea"/>
                              <a:cs typeface="+mn-cs"/>
                            </a:defRPr>
                          </a:lvl8pPr>
                          <a:lvl9pPr marL="3657227" algn="l" defTabSz="914307" rtl="0" eaLnBrk="1" latinLnBrk="1" hangingPunct="1">
                            <a:defRPr sz="1800"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0" name="직선 화살표 연결선 19"/>
                      <a:cNvCxnSpPr/>
                    </a:nvCxnSpPr>
                    <a:spPr>
                      <a:xfrm flipH="1">
                        <a:off x="5412193" y="3750471"/>
                        <a:ext cx="571504" cy="142876"/>
                      </a:xfrm>
                      <a:prstGeom prst="straightConnector1">
                        <a:avLst/>
                      </a:prstGeom>
                      <a:ln w="31750">
                        <a:solidFill>
                          <a:schemeClr val="tx2">
                            <a:lumMod val="60000"/>
                            <a:lumOff val="40000"/>
                          </a:schemeClr>
                        </a:solidFill>
                        <a:prstDash val="sysDash"/>
                        <a:headEnd type="none"/>
                        <a:tailEnd type="arrow"/>
                      </a:ln>
                    </a:spPr>
                    <a:style>
                      <a:lnRef idx="1">
                        <a:schemeClr val="accent1"/>
                      </a:lnRef>
                      <a:fillRef idx="0">
                        <a:schemeClr val="accent1"/>
                      </a:fillRef>
                      <a:effectRef idx="0">
                        <a:schemeClr val="accent1"/>
                      </a:effectRef>
                      <a:fontRef idx="minor">
                        <a:schemeClr val="tx1"/>
                      </a:fontRef>
                    </a:style>
                  </a:cxnSp>
                  <a:sp>
                    <a:nvSpPr>
                      <a:cNvPr id="21" name="TextBox 54"/>
                      <a:cNvSpPr txBox="1"/>
                    </a:nvSpPr>
                    <a:spPr>
                      <a:xfrm>
                        <a:off x="5840821" y="3821909"/>
                        <a:ext cx="1143008" cy="461665"/>
                      </a:xfrm>
                      <a:prstGeom prst="rect">
                        <a:avLst/>
                      </a:prstGeom>
                      <a:noFill/>
                    </a:spPr>
                    <a:txSp>
                      <a:txBody>
                        <a:bodyPr wrap="square" rtlCol="0">
                          <a:spAutoFit/>
                        </a:bodyPr>
                        <a:lstStyle>
                          <a:defPPr>
                            <a:defRPr lang="ko-KR"/>
                          </a:defPPr>
                          <a:lvl1pPr marL="0" algn="l" defTabSz="914307" rtl="0" eaLnBrk="1" latinLnBrk="1" hangingPunct="1">
                            <a:defRPr sz="1800" kern="1200">
                              <a:solidFill>
                                <a:schemeClr val="tx1"/>
                              </a:solidFill>
                              <a:latin typeface="+mn-lt"/>
                              <a:ea typeface="+mn-ea"/>
                              <a:cs typeface="+mn-cs"/>
                            </a:defRPr>
                          </a:lvl1pPr>
                          <a:lvl2pPr marL="457153" algn="l" defTabSz="914307" rtl="0" eaLnBrk="1" latinLnBrk="1" hangingPunct="1">
                            <a:defRPr sz="1800" kern="1200">
                              <a:solidFill>
                                <a:schemeClr val="tx1"/>
                              </a:solidFill>
                              <a:latin typeface="+mn-lt"/>
                              <a:ea typeface="+mn-ea"/>
                              <a:cs typeface="+mn-cs"/>
                            </a:defRPr>
                          </a:lvl2pPr>
                          <a:lvl3pPr marL="914307" algn="l" defTabSz="914307" rtl="0" eaLnBrk="1" latinLnBrk="1" hangingPunct="1">
                            <a:defRPr sz="1800" kern="1200">
                              <a:solidFill>
                                <a:schemeClr val="tx1"/>
                              </a:solidFill>
                              <a:latin typeface="+mn-lt"/>
                              <a:ea typeface="+mn-ea"/>
                              <a:cs typeface="+mn-cs"/>
                            </a:defRPr>
                          </a:lvl3pPr>
                          <a:lvl4pPr marL="1371460" algn="l" defTabSz="914307" rtl="0" eaLnBrk="1" latinLnBrk="1" hangingPunct="1">
                            <a:defRPr sz="1800" kern="1200">
                              <a:solidFill>
                                <a:schemeClr val="tx1"/>
                              </a:solidFill>
                              <a:latin typeface="+mn-lt"/>
                              <a:ea typeface="+mn-ea"/>
                              <a:cs typeface="+mn-cs"/>
                            </a:defRPr>
                          </a:lvl4pPr>
                          <a:lvl5pPr marL="1828613" algn="l" defTabSz="914307" rtl="0" eaLnBrk="1" latinLnBrk="1" hangingPunct="1">
                            <a:defRPr sz="1800" kern="1200">
                              <a:solidFill>
                                <a:schemeClr val="tx1"/>
                              </a:solidFill>
                              <a:latin typeface="+mn-lt"/>
                              <a:ea typeface="+mn-ea"/>
                              <a:cs typeface="+mn-cs"/>
                            </a:defRPr>
                          </a:lvl5pPr>
                          <a:lvl6pPr marL="2285766" algn="l" defTabSz="914307" rtl="0" eaLnBrk="1" latinLnBrk="1" hangingPunct="1">
                            <a:defRPr sz="1800" kern="1200">
                              <a:solidFill>
                                <a:schemeClr val="tx1"/>
                              </a:solidFill>
                              <a:latin typeface="+mn-lt"/>
                              <a:ea typeface="+mn-ea"/>
                              <a:cs typeface="+mn-cs"/>
                            </a:defRPr>
                          </a:lvl6pPr>
                          <a:lvl7pPr marL="2742920" algn="l" defTabSz="914307" rtl="0" eaLnBrk="1" latinLnBrk="1" hangingPunct="1">
                            <a:defRPr sz="1800" kern="1200">
                              <a:solidFill>
                                <a:schemeClr val="tx1"/>
                              </a:solidFill>
                              <a:latin typeface="+mn-lt"/>
                              <a:ea typeface="+mn-ea"/>
                              <a:cs typeface="+mn-cs"/>
                            </a:defRPr>
                          </a:lvl7pPr>
                          <a:lvl8pPr marL="3200074" algn="l" defTabSz="914307" rtl="0" eaLnBrk="1" latinLnBrk="1" hangingPunct="1">
                            <a:defRPr sz="1800" kern="1200">
                              <a:solidFill>
                                <a:schemeClr val="tx1"/>
                              </a:solidFill>
                              <a:latin typeface="+mn-lt"/>
                              <a:ea typeface="+mn-ea"/>
                              <a:cs typeface="+mn-cs"/>
                            </a:defRPr>
                          </a:lvl8pPr>
                          <a:lvl9pPr marL="3657227" algn="l" defTabSz="914307" rtl="0" eaLnBrk="1" latinLnBrk="1" hangingPunct="1">
                            <a:defRPr sz="1800" kern="1200">
                              <a:solidFill>
                                <a:schemeClr val="tx1"/>
                              </a:solidFill>
                              <a:latin typeface="+mn-lt"/>
                              <a:ea typeface="+mn-ea"/>
                              <a:cs typeface="+mn-cs"/>
                            </a:defRPr>
                          </a:lvl9pPr>
                        </a:lstStyle>
                        <a:p>
                          <a:pPr algn="ctr"/>
                          <a:r>
                            <a:rPr lang="en-US" altLang="ko-KR" sz="2400" b="1" dirty="0" smtClean="0">
                              <a:latin typeface="Calibri" pitchFamily="34" charset="0"/>
                            </a:rPr>
                            <a:t>DUE-2</a:t>
                          </a:r>
                          <a:endParaRPr lang="ko-KR" altLang="en-US" sz="2400" b="1" dirty="0">
                            <a:latin typeface="Calibri" pitchFamily="34" charset="0"/>
                          </a:endParaRPr>
                        </a:p>
                      </a:txBody>
                      <a:useSpRect/>
                    </a:txSp>
                  </a:sp>
                  <a:sp>
                    <a:nvSpPr>
                      <a:cNvPr id="22" name="TextBox 54"/>
                      <a:cNvSpPr txBox="1"/>
                    </a:nvSpPr>
                    <a:spPr>
                      <a:xfrm>
                        <a:off x="1697417" y="2964653"/>
                        <a:ext cx="1428760" cy="461665"/>
                      </a:xfrm>
                      <a:prstGeom prst="rect">
                        <a:avLst/>
                      </a:prstGeom>
                      <a:noFill/>
                    </a:spPr>
                    <a:txSp>
                      <a:txBody>
                        <a:bodyPr wrap="square" rtlCol="0">
                          <a:spAutoFit/>
                        </a:bodyPr>
                        <a:lstStyle>
                          <a:defPPr>
                            <a:defRPr lang="ko-KR"/>
                          </a:defPPr>
                          <a:lvl1pPr marL="0" algn="l" defTabSz="914307" rtl="0" eaLnBrk="1" latinLnBrk="1" hangingPunct="1">
                            <a:defRPr sz="1800" kern="1200">
                              <a:solidFill>
                                <a:schemeClr val="tx1"/>
                              </a:solidFill>
                              <a:latin typeface="+mn-lt"/>
                              <a:ea typeface="+mn-ea"/>
                              <a:cs typeface="+mn-cs"/>
                            </a:defRPr>
                          </a:lvl1pPr>
                          <a:lvl2pPr marL="457153" algn="l" defTabSz="914307" rtl="0" eaLnBrk="1" latinLnBrk="1" hangingPunct="1">
                            <a:defRPr sz="1800" kern="1200">
                              <a:solidFill>
                                <a:schemeClr val="tx1"/>
                              </a:solidFill>
                              <a:latin typeface="+mn-lt"/>
                              <a:ea typeface="+mn-ea"/>
                              <a:cs typeface="+mn-cs"/>
                            </a:defRPr>
                          </a:lvl2pPr>
                          <a:lvl3pPr marL="914307" algn="l" defTabSz="914307" rtl="0" eaLnBrk="1" latinLnBrk="1" hangingPunct="1">
                            <a:defRPr sz="1800" kern="1200">
                              <a:solidFill>
                                <a:schemeClr val="tx1"/>
                              </a:solidFill>
                              <a:latin typeface="+mn-lt"/>
                              <a:ea typeface="+mn-ea"/>
                              <a:cs typeface="+mn-cs"/>
                            </a:defRPr>
                          </a:lvl3pPr>
                          <a:lvl4pPr marL="1371460" algn="l" defTabSz="914307" rtl="0" eaLnBrk="1" latinLnBrk="1" hangingPunct="1">
                            <a:defRPr sz="1800" kern="1200">
                              <a:solidFill>
                                <a:schemeClr val="tx1"/>
                              </a:solidFill>
                              <a:latin typeface="+mn-lt"/>
                              <a:ea typeface="+mn-ea"/>
                              <a:cs typeface="+mn-cs"/>
                            </a:defRPr>
                          </a:lvl4pPr>
                          <a:lvl5pPr marL="1828613" algn="l" defTabSz="914307" rtl="0" eaLnBrk="1" latinLnBrk="1" hangingPunct="1">
                            <a:defRPr sz="1800" kern="1200">
                              <a:solidFill>
                                <a:schemeClr val="tx1"/>
                              </a:solidFill>
                              <a:latin typeface="+mn-lt"/>
                              <a:ea typeface="+mn-ea"/>
                              <a:cs typeface="+mn-cs"/>
                            </a:defRPr>
                          </a:lvl5pPr>
                          <a:lvl6pPr marL="2285766" algn="l" defTabSz="914307" rtl="0" eaLnBrk="1" latinLnBrk="1" hangingPunct="1">
                            <a:defRPr sz="1800" kern="1200">
                              <a:solidFill>
                                <a:schemeClr val="tx1"/>
                              </a:solidFill>
                              <a:latin typeface="+mn-lt"/>
                              <a:ea typeface="+mn-ea"/>
                              <a:cs typeface="+mn-cs"/>
                            </a:defRPr>
                          </a:lvl6pPr>
                          <a:lvl7pPr marL="2742920" algn="l" defTabSz="914307" rtl="0" eaLnBrk="1" latinLnBrk="1" hangingPunct="1">
                            <a:defRPr sz="1800" kern="1200">
                              <a:solidFill>
                                <a:schemeClr val="tx1"/>
                              </a:solidFill>
                              <a:latin typeface="+mn-lt"/>
                              <a:ea typeface="+mn-ea"/>
                              <a:cs typeface="+mn-cs"/>
                            </a:defRPr>
                          </a:lvl7pPr>
                          <a:lvl8pPr marL="3200074" algn="l" defTabSz="914307" rtl="0" eaLnBrk="1" latinLnBrk="1" hangingPunct="1">
                            <a:defRPr sz="1800" kern="1200">
                              <a:solidFill>
                                <a:schemeClr val="tx1"/>
                              </a:solidFill>
                              <a:latin typeface="+mn-lt"/>
                              <a:ea typeface="+mn-ea"/>
                              <a:cs typeface="+mn-cs"/>
                            </a:defRPr>
                          </a:lvl8pPr>
                          <a:lvl9pPr marL="3657227" algn="l" defTabSz="914307" rtl="0" eaLnBrk="1" latinLnBrk="1" hangingPunct="1">
                            <a:defRPr sz="1800" kern="1200">
                              <a:solidFill>
                                <a:schemeClr val="tx1"/>
                              </a:solidFill>
                              <a:latin typeface="+mn-lt"/>
                              <a:ea typeface="+mn-ea"/>
                              <a:cs typeface="+mn-cs"/>
                            </a:defRPr>
                          </a:lvl9pPr>
                        </a:lstStyle>
                        <a:p>
                          <a:pPr algn="ctr"/>
                          <a:r>
                            <a:rPr lang="en-US" altLang="ko-KR" sz="2400" b="1" dirty="0" smtClean="0">
                              <a:latin typeface="Calibri" pitchFamily="34" charset="0"/>
                            </a:rPr>
                            <a:t>f1 carrier</a:t>
                          </a:r>
                          <a:endParaRPr lang="ko-KR" altLang="en-US" sz="2400" b="1" dirty="0">
                            <a:latin typeface="Calibri" pitchFamily="34" charset="0"/>
                          </a:endParaRPr>
                        </a:p>
                      </a:txBody>
                      <a:useSpRect/>
                    </a:txSp>
                  </a:sp>
                  <a:sp>
                    <a:nvSpPr>
                      <a:cNvPr id="23" name="TextBox 54"/>
                      <a:cNvSpPr txBox="1"/>
                    </a:nvSpPr>
                    <a:spPr>
                      <a:xfrm>
                        <a:off x="6198011" y="3036091"/>
                        <a:ext cx="1428760" cy="461665"/>
                      </a:xfrm>
                      <a:prstGeom prst="rect">
                        <a:avLst/>
                      </a:prstGeom>
                      <a:noFill/>
                    </a:spPr>
                    <a:txSp>
                      <a:txBody>
                        <a:bodyPr wrap="square" rtlCol="0">
                          <a:spAutoFit/>
                        </a:bodyPr>
                        <a:lstStyle>
                          <a:defPPr>
                            <a:defRPr lang="ko-KR"/>
                          </a:defPPr>
                          <a:lvl1pPr marL="0" algn="l" defTabSz="914307" rtl="0" eaLnBrk="1" latinLnBrk="1" hangingPunct="1">
                            <a:defRPr sz="1800" kern="1200">
                              <a:solidFill>
                                <a:schemeClr val="tx1"/>
                              </a:solidFill>
                              <a:latin typeface="+mn-lt"/>
                              <a:ea typeface="+mn-ea"/>
                              <a:cs typeface="+mn-cs"/>
                            </a:defRPr>
                          </a:lvl1pPr>
                          <a:lvl2pPr marL="457153" algn="l" defTabSz="914307" rtl="0" eaLnBrk="1" latinLnBrk="1" hangingPunct="1">
                            <a:defRPr sz="1800" kern="1200">
                              <a:solidFill>
                                <a:schemeClr val="tx1"/>
                              </a:solidFill>
                              <a:latin typeface="+mn-lt"/>
                              <a:ea typeface="+mn-ea"/>
                              <a:cs typeface="+mn-cs"/>
                            </a:defRPr>
                          </a:lvl2pPr>
                          <a:lvl3pPr marL="914307" algn="l" defTabSz="914307" rtl="0" eaLnBrk="1" latinLnBrk="1" hangingPunct="1">
                            <a:defRPr sz="1800" kern="1200">
                              <a:solidFill>
                                <a:schemeClr val="tx1"/>
                              </a:solidFill>
                              <a:latin typeface="+mn-lt"/>
                              <a:ea typeface="+mn-ea"/>
                              <a:cs typeface="+mn-cs"/>
                            </a:defRPr>
                          </a:lvl3pPr>
                          <a:lvl4pPr marL="1371460" algn="l" defTabSz="914307" rtl="0" eaLnBrk="1" latinLnBrk="1" hangingPunct="1">
                            <a:defRPr sz="1800" kern="1200">
                              <a:solidFill>
                                <a:schemeClr val="tx1"/>
                              </a:solidFill>
                              <a:latin typeface="+mn-lt"/>
                              <a:ea typeface="+mn-ea"/>
                              <a:cs typeface="+mn-cs"/>
                            </a:defRPr>
                          </a:lvl4pPr>
                          <a:lvl5pPr marL="1828613" algn="l" defTabSz="914307" rtl="0" eaLnBrk="1" latinLnBrk="1" hangingPunct="1">
                            <a:defRPr sz="1800" kern="1200">
                              <a:solidFill>
                                <a:schemeClr val="tx1"/>
                              </a:solidFill>
                              <a:latin typeface="+mn-lt"/>
                              <a:ea typeface="+mn-ea"/>
                              <a:cs typeface="+mn-cs"/>
                            </a:defRPr>
                          </a:lvl5pPr>
                          <a:lvl6pPr marL="2285766" algn="l" defTabSz="914307" rtl="0" eaLnBrk="1" latinLnBrk="1" hangingPunct="1">
                            <a:defRPr sz="1800" kern="1200">
                              <a:solidFill>
                                <a:schemeClr val="tx1"/>
                              </a:solidFill>
                              <a:latin typeface="+mn-lt"/>
                              <a:ea typeface="+mn-ea"/>
                              <a:cs typeface="+mn-cs"/>
                            </a:defRPr>
                          </a:lvl6pPr>
                          <a:lvl7pPr marL="2742920" algn="l" defTabSz="914307" rtl="0" eaLnBrk="1" latinLnBrk="1" hangingPunct="1">
                            <a:defRPr sz="1800" kern="1200">
                              <a:solidFill>
                                <a:schemeClr val="tx1"/>
                              </a:solidFill>
                              <a:latin typeface="+mn-lt"/>
                              <a:ea typeface="+mn-ea"/>
                              <a:cs typeface="+mn-cs"/>
                            </a:defRPr>
                          </a:lvl7pPr>
                          <a:lvl8pPr marL="3200074" algn="l" defTabSz="914307" rtl="0" eaLnBrk="1" latinLnBrk="1" hangingPunct="1">
                            <a:defRPr sz="1800" kern="1200">
                              <a:solidFill>
                                <a:schemeClr val="tx1"/>
                              </a:solidFill>
                              <a:latin typeface="+mn-lt"/>
                              <a:ea typeface="+mn-ea"/>
                              <a:cs typeface="+mn-cs"/>
                            </a:defRPr>
                          </a:lvl8pPr>
                          <a:lvl9pPr marL="3657227" algn="l" defTabSz="914307" rtl="0" eaLnBrk="1" latinLnBrk="1" hangingPunct="1">
                            <a:defRPr sz="1800" kern="1200">
                              <a:solidFill>
                                <a:schemeClr val="tx1"/>
                              </a:solidFill>
                              <a:latin typeface="+mn-lt"/>
                              <a:ea typeface="+mn-ea"/>
                              <a:cs typeface="+mn-cs"/>
                            </a:defRPr>
                          </a:lvl9pPr>
                        </a:lstStyle>
                        <a:p>
                          <a:pPr algn="ctr"/>
                          <a:r>
                            <a:rPr lang="en-US" altLang="ko-KR" sz="2400" b="1" dirty="0" smtClean="0">
                              <a:latin typeface="Calibri" pitchFamily="34" charset="0"/>
                            </a:rPr>
                            <a:t>f2 carrier</a:t>
                          </a:r>
                          <a:endParaRPr lang="ko-KR" altLang="en-US" sz="2400" b="1" dirty="0">
                            <a:latin typeface="Calibri" pitchFamily="34" charset="0"/>
                          </a:endParaRPr>
                        </a:p>
                      </a:txBody>
                      <a:useSpRect/>
                    </a:txSp>
                  </a:sp>
                  <a:cxnSp>
                    <a:nvCxnSpPr>
                      <a:cNvPr id="25" name="직선 화살표 연결선 24"/>
                      <a:cNvCxnSpPr/>
                    </a:nvCxnSpPr>
                    <a:spPr>
                      <a:xfrm flipV="1">
                        <a:off x="4214810" y="2857496"/>
                        <a:ext cx="1500198" cy="642942"/>
                      </a:xfrm>
                      <a:prstGeom prst="straightConnector1">
                        <a:avLst/>
                      </a:prstGeom>
                      <a:ln w="50800">
                        <a:solidFill>
                          <a:schemeClr val="tx2">
                            <a:lumMod val="60000"/>
                            <a:lumOff val="40000"/>
                          </a:schemeClr>
                        </a:solidFill>
                        <a:prstDash val="solid"/>
                        <a:headEnd type="none"/>
                        <a:tailEnd type="arrow"/>
                      </a:ln>
                    </a:spPr>
                    <a:style>
                      <a:lnRef idx="1">
                        <a:schemeClr val="accent1"/>
                      </a:lnRef>
                      <a:fillRef idx="0">
                        <a:schemeClr val="accent1"/>
                      </a:fillRef>
                      <a:effectRef idx="0">
                        <a:schemeClr val="accent1"/>
                      </a:effectRef>
                      <a:fontRef idx="minor">
                        <a:schemeClr val="tx1"/>
                      </a:fontRef>
                    </a:style>
                  </a:cxnSp>
                </lc:lockedCanvas>
              </a:graphicData>
            </a:graphic>
          </wp:inline>
        </w:drawing>
      </w:r>
    </w:p>
    <w:p w:rsidR="00F85DE5" w:rsidRPr="00731EBF" w:rsidRDefault="00F85DE5" w:rsidP="00F85DE5">
      <w:pPr>
        <w:pStyle w:val="af"/>
        <w:jc w:val="center"/>
        <w:rPr>
          <w:rFonts w:ascii="Times New Roman" w:eastAsia="맑은 고딕" w:hAnsi="Times New Roman"/>
          <w:lang w:eastAsia="ko-KR"/>
        </w:rPr>
      </w:pPr>
      <w:r w:rsidRPr="00731EBF">
        <w:rPr>
          <w:rFonts w:ascii="Times New Roman" w:hAnsi="Times New Roman"/>
        </w:rPr>
        <w:t xml:space="preserve">Figure </w:t>
      </w:r>
      <w:r w:rsidR="006E6BAE" w:rsidRPr="00731EBF">
        <w:rPr>
          <w:rFonts w:ascii="Times New Roman" w:hAnsi="Times New Roman"/>
        </w:rPr>
        <w:fldChar w:fldCharType="begin"/>
      </w:r>
      <w:r w:rsidRPr="00731EBF">
        <w:rPr>
          <w:rFonts w:ascii="Times New Roman" w:hAnsi="Times New Roman"/>
        </w:rPr>
        <w:instrText xml:space="preserve"> SEQ Figure \* ARABIC </w:instrText>
      </w:r>
      <w:r w:rsidR="006E6BAE" w:rsidRPr="00731EBF">
        <w:rPr>
          <w:rFonts w:ascii="Times New Roman" w:hAnsi="Times New Roman"/>
        </w:rPr>
        <w:fldChar w:fldCharType="separate"/>
      </w:r>
      <w:r w:rsidR="00CA16AC">
        <w:rPr>
          <w:rFonts w:ascii="Times New Roman" w:hAnsi="Times New Roman"/>
          <w:noProof/>
        </w:rPr>
        <w:t>1</w:t>
      </w:r>
      <w:r w:rsidR="006E6BAE" w:rsidRPr="00731EBF">
        <w:rPr>
          <w:rFonts w:ascii="Times New Roman" w:hAnsi="Times New Roman"/>
        </w:rPr>
        <w:fldChar w:fldCharType="end"/>
      </w:r>
      <w:r w:rsidRPr="00731EBF">
        <w:rPr>
          <w:rFonts w:ascii="Times New Roman" w:eastAsia="맑은 고딕" w:hAnsi="Times New Roman"/>
          <w:lang w:eastAsia="ko-KR"/>
        </w:rPr>
        <w:t xml:space="preserve">: </w:t>
      </w:r>
      <w:r w:rsidR="006C4B92">
        <w:rPr>
          <w:rFonts w:ascii="Times New Roman" w:eastAsia="맑은 고딕" w:hAnsi="Times New Roman" w:hint="eastAsia"/>
          <w:lang w:eastAsia="ko-KR"/>
        </w:rPr>
        <w:t>Illustration of eD2D transmission in a non-serving carrier</w:t>
      </w:r>
    </w:p>
    <w:p w:rsidR="002579AC" w:rsidRDefault="002579AC" w:rsidP="002579AC">
      <w:pPr>
        <w:pStyle w:val="1"/>
        <w:ind w:left="567" w:hanging="567"/>
        <w:rPr>
          <w:rFonts w:eastAsia="맑은 고딕"/>
          <w:lang w:val="en-US" w:eastAsia="ko-KR"/>
        </w:rPr>
      </w:pPr>
      <w:r>
        <w:rPr>
          <w:rFonts w:eastAsia="맑은 고딕" w:hint="eastAsia"/>
          <w:lang w:val="en-US" w:eastAsia="ko-KR"/>
        </w:rPr>
        <w:t>3</w:t>
      </w:r>
      <w:r w:rsidRPr="00731EBF">
        <w:rPr>
          <w:rFonts w:eastAsia="맑은 고딕" w:hint="eastAsia"/>
          <w:lang w:val="en-US" w:eastAsia="ko-KR"/>
        </w:rPr>
        <w:tab/>
      </w:r>
      <w:r>
        <w:rPr>
          <w:rFonts w:eastAsia="맑은 고딕" w:hint="eastAsia"/>
          <w:lang w:val="en-US" w:eastAsia="ko-KR"/>
        </w:rPr>
        <w:t>Power Limitation Handling</w:t>
      </w:r>
    </w:p>
    <w:p w:rsidR="002E1342" w:rsidRDefault="002E1342" w:rsidP="002E1342">
      <w:pPr>
        <w:jc w:val="both"/>
        <w:rPr>
          <w:rFonts w:eastAsiaTheme="minorEastAsia"/>
          <w:lang w:val="en-US" w:eastAsia="ko-KR"/>
        </w:rPr>
      </w:pPr>
      <w:r>
        <w:rPr>
          <w:rFonts w:eastAsiaTheme="minorEastAsia" w:hint="eastAsia"/>
          <w:lang w:val="en-US" w:eastAsia="ko-KR"/>
        </w:rPr>
        <w:t xml:space="preserve">Allowing UE to transmit sidelink direct discovery announcement in a non-serving carrier may lead to concurrent transmission in serving carrier and sidelink direct discovery transmission in non-serving carrier. An eD2D UE with additional TX chain can concurrently transmit in serving carrier and transmit sidelink direct discovery transmission in non-serving carrier. In this case, the power for transmission on WAN and sidelink direct discovery transmission is independently calculated. </w:t>
      </w:r>
    </w:p>
    <w:p w:rsidR="002E1342" w:rsidRDefault="002E1342" w:rsidP="002E1342">
      <w:pPr>
        <w:overflowPunct/>
        <w:autoSpaceDE/>
        <w:autoSpaceDN/>
        <w:adjustRightInd/>
        <w:jc w:val="both"/>
        <w:textAlignment w:val="auto"/>
        <w:rPr>
          <w:rFonts w:eastAsia="맑은 고딕"/>
          <w:lang w:eastAsia="ko-KR"/>
        </w:rPr>
      </w:pPr>
      <w:r>
        <w:rPr>
          <w:rFonts w:eastAsia="맑은 고딕" w:hint="eastAsia"/>
          <w:b/>
          <w:u w:val="single"/>
          <w:lang w:eastAsia="ko-KR"/>
        </w:rPr>
        <w:t>Power Limitation</w:t>
      </w:r>
    </w:p>
    <w:p w:rsidR="002E1342" w:rsidRDefault="002E1342" w:rsidP="002E1342">
      <w:pPr>
        <w:jc w:val="both"/>
        <w:rPr>
          <w:rFonts w:eastAsiaTheme="minorEastAsia"/>
          <w:lang w:val="en-US" w:eastAsia="ko-KR"/>
        </w:rPr>
      </w:pPr>
      <w:r>
        <w:rPr>
          <w:rFonts w:eastAsiaTheme="minorEastAsia" w:hint="eastAsia"/>
          <w:lang w:val="en-US" w:eastAsia="ko-KR"/>
        </w:rPr>
        <w:t xml:space="preserve">As a result, the sum of calculated transmit power for sidelink direct discovery transmissions in non-serving carrier and transmit power for transmission on serving carrier may be greater than maximum available for transmission, i.e. </w:t>
      </w:r>
      <w:proofErr w:type="spellStart"/>
      <w:r>
        <w:rPr>
          <w:rFonts w:eastAsiaTheme="minorEastAsia" w:hint="eastAsia"/>
          <w:lang w:val="en-US" w:eastAsia="ko-KR"/>
        </w:rPr>
        <w:t>P</w:t>
      </w:r>
      <w:r w:rsidRPr="002E1342">
        <w:rPr>
          <w:rFonts w:eastAsiaTheme="minorEastAsia" w:hint="eastAsia"/>
          <w:vertAlign w:val="subscript"/>
          <w:lang w:val="en-US" w:eastAsia="ko-KR"/>
        </w:rPr>
        <w:t>powerclass</w:t>
      </w:r>
      <w:proofErr w:type="spellEnd"/>
      <w:r>
        <w:rPr>
          <w:rFonts w:eastAsiaTheme="minorEastAsia" w:hint="eastAsia"/>
          <w:lang w:val="en-US" w:eastAsia="ko-KR"/>
        </w:rPr>
        <w:t>. So, it is not possible for UE to concurrently transmit in serving carrier and transmit sidelink direct discovery transmission in non-serving carrier using the calculated power.</w:t>
      </w:r>
    </w:p>
    <w:p w:rsidR="002E1342" w:rsidRPr="00731EBF" w:rsidRDefault="00074925" w:rsidP="002E1342">
      <w:pPr>
        <w:jc w:val="both"/>
        <w:rPr>
          <w:rFonts w:eastAsia="맑은 고딕"/>
          <w:i/>
          <w:lang w:val="en-US" w:eastAsia="ko-KR"/>
        </w:rPr>
      </w:pPr>
      <w:r>
        <w:rPr>
          <w:rFonts w:eastAsia="맑은 고딕" w:hint="eastAsia"/>
          <w:b/>
          <w:lang w:eastAsia="ko-KR"/>
        </w:rPr>
        <w:t>Observation</w:t>
      </w:r>
      <w:r w:rsidR="002E1342" w:rsidRPr="00731EBF">
        <w:rPr>
          <w:rFonts w:eastAsia="맑은 고딕" w:hint="eastAsia"/>
          <w:b/>
          <w:lang w:val="en-US" w:eastAsia="ko-KR"/>
        </w:rPr>
        <w:t>:</w:t>
      </w:r>
      <w:r w:rsidR="002E1342" w:rsidRPr="00731EBF">
        <w:rPr>
          <w:rFonts w:eastAsia="맑은 고딕" w:hint="eastAsia"/>
          <w:lang w:val="en-US" w:eastAsia="ko-KR"/>
        </w:rPr>
        <w:t xml:space="preserve"> </w:t>
      </w:r>
      <w:r w:rsidR="002E1342" w:rsidRPr="002E1342">
        <w:rPr>
          <w:rFonts w:eastAsia="맑은 고딕"/>
          <w:i/>
          <w:lang w:val="en-US" w:eastAsia="ko-KR"/>
        </w:rPr>
        <w:t>Sum of calculated transmit power for sidelink direct discovery transmissions in non-serving carrier and transmit power for transmission on serving carrier may be greater than maximum power available for transmission</w:t>
      </w:r>
      <w:r w:rsidR="002E1342" w:rsidRPr="00731EBF">
        <w:rPr>
          <w:rFonts w:eastAsia="맑은 고딕" w:hint="eastAsia"/>
          <w:i/>
          <w:lang w:val="en-US" w:eastAsia="ko-KR"/>
        </w:rPr>
        <w:t>.</w:t>
      </w:r>
    </w:p>
    <w:p w:rsidR="007A1951" w:rsidRPr="00731EBF" w:rsidRDefault="002579AC" w:rsidP="007A1951">
      <w:pPr>
        <w:overflowPunct/>
        <w:autoSpaceDE/>
        <w:autoSpaceDN/>
        <w:adjustRightInd/>
        <w:jc w:val="both"/>
        <w:textAlignment w:val="auto"/>
        <w:rPr>
          <w:rFonts w:eastAsia="맑은 고딕"/>
          <w:b/>
          <w:u w:val="single"/>
          <w:lang w:eastAsia="ko-KR"/>
        </w:rPr>
      </w:pPr>
      <w:r>
        <w:rPr>
          <w:rFonts w:eastAsia="맑은 고딕" w:hint="eastAsia"/>
          <w:b/>
          <w:u w:val="single"/>
          <w:lang w:eastAsia="ko-KR"/>
        </w:rPr>
        <w:t>Possible Approaches</w:t>
      </w:r>
    </w:p>
    <w:p w:rsidR="009A013E" w:rsidRDefault="002E1342" w:rsidP="007A1951">
      <w:pPr>
        <w:overflowPunct/>
        <w:autoSpaceDE/>
        <w:autoSpaceDN/>
        <w:adjustRightInd/>
        <w:jc w:val="both"/>
        <w:textAlignment w:val="auto"/>
        <w:rPr>
          <w:rFonts w:eastAsia="맑은 고딕"/>
          <w:lang w:eastAsia="ko-KR"/>
        </w:rPr>
      </w:pPr>
      <w:r>
        <w:rPr>
          <w:rFonts w:eastAsia="맑은 고딕" w:hint="eastAsia"/>
          <w:lang w:eastAsia="ko-KR"/>
        </w:rPr>
        <w:t xml:space="preserve">In order to handle the power limitation, there could be </w:t>
      </w:r>
      <w:r w:rsidR="00CE7AD4">
        <w:rPr>
          <w:rFonts w:eastAsia="맑은 고딕" w:hint="eastAsia"/>
          <w:lang w:eastAsia="ko-KR"/>
        </w:rPr>
        <w:t xml:space="preserve">two </w:t>
      </w:r>
      <w:r>
        <w:rPr>
          <w:rFonts w:eastAsia="맑은 고딕" w:hint="eastAsia"/>
          <w:lang w:eastAsia="ko-KR"/>
        </w:rPr>
        <w:t>approaches as following:</w:t>
      </w:r>
    </w:p>
    <w:p w:rsidR="002E1342" w:rsidRDefault="002E1342" w:rsidP="007A1951">
      <w:pPr>
        <w:overflowPunct/>
        <w:autoSpaceDE/>
        <w:autoSpaceDN/>
        <w:adjustRightInd/>
        <w:jc w:val="both"/>
        <w:textAlignment w:val="auto"/>
        <w:rPr>
          <w:rFonts w:eastAsia="맑은 고딕"/>
          <w:lang w:val="en-US" w:eastAsia="ko-KR"/>
        </w:rPr>
      </w:pPr>
      <w:r>
        <w:rPr>
          <w:rFonts w:eastAsia="맑은 고딕" w:hint="eastAsia"/>
          <w:lang w:eastAsia="ko-KR"/>
        </w:rPr>
        <w:t xml:space="preserve">Option 1: </w:t>
      </w:r>
      <w:r w:rsidR="00074925" w:rsidRPr="00074925">
        <w:rPr>
          <w:rFonts w:eastAsia="맑은 고딕"/>
          <w:lang w:val="en-US" w:eastAsia="ko-KR"/>
        </w:rPr>
        <w:t>UE first allocate</w:t>
      </w:r>
      <w:r w:rsidR="00074925">
        <w:rPr>
          <w:rFonts w:eastAsia="맑은 고딕" w:hint="eastAsia"/>
          <w:lang w:val="en-US" w:eastAsia="ko-KR"/>
        </w:rPr>
        <w:t>s</w:t>
      </w:r>
      <w:r w:rsidR="00074925" w:rsidRPr="00074925">
        <w:rPr>
          <w:rFonts w:eastAsia="맑은 고딕"/>
          <w:lang w:val="en-US" w:eastAsia="ko-KR"/>
        </w:rPr>
        <w:t xml:space="preserve"> power for transmission on serving carrier(s). UE than transmit the sidelink direct discovery transmission on non-serving carrier using the remaining power</w:t>
      </w:r>
      <w:r w:rsidR="00074925">
        <w:rPr>
          <w:rFonts w:eastAsia="맑은 고딕" w:hint="eastAsia"/>
          <w:lang w:val="en-US" w:eastAsia="ko-KR"/>
        </w:rPr>
        <w:t>.</w:t>
      </w:r>
    </w:p>
    <w:p w:rsidR="00074925" w:rsidRDefault="00074925" w:rsidP="007A1951">
      <w:pPr>
        <w:overflowPunct/>
        <w:autoSpaceDE/>
        <w:autoSpaceDN/>
        <w:adjustRightInd/>
        <w:jc w:val="both"/>
        <w:textAlignment w:val="auto"/>
        <w:rPr>
          <w:rFonts w:eastAsia="맑은 고딕"/>
          <w:lang w:val="en-US" w:eastAsia="ko-KR"/>
        </w:rPr>
      </w:pPr>
      <w:r>
        <w:rPr>
          <w:rFonts w:eastAsia="맑은 고딕" w:hint="eastAsia"/>
          <w:lang w:val="en-US" w:eastAsia="ko-KR"/>
        </w:rPr>
        <w:t xml:space="preserve">Option 2: </w:t>
      </w:r>
      <w:r w:rsidRPr="00074925">
        <w:rPr>
          <w:rFonts w:eastAsia="맑은 고딕"/>
          <w:lang w:val="en-US" w:eastAsia="ko-KR"/>
        </w:rPr>
        <w:t>Prioritization between transmission in serving carrier and sidelink direct discovery transmission in non-serving carrier</w:t>
      </w:r>
      <w:r>
        <w:rPr>
          <w:rFonts w:eastAsia="맑은 고딕" w:hint="eastAsia"/>
          <w:lang w:val="en-US" w:eastAsia="ko-KR"/>
        </w:rPr>
        <w:t>.</w:t>
      </w:r>
    </w:p>
    <w:p w:rsidR="00074925" w:rsidRDefault="00074925" w:rsidP="00074925">
      <w:pPr>
        <w:overflowPunct/>
        <w:autoSpaceDE/>
        <w:autoSpaceDN/>
        <w:adjustRightInd/>
        <w:spacing w:after="160"/>
        <w:ind w:left="142" w:hangingChars="71" w:hanging="142"/>
        <w:jc w:val="both"/>
        <w:textAlignment w:val="auto"/>
        <w:rPr>
          <w:rFonts w:eastAsia="맑은 고딕"/>
          <w:lang w:val="en-US" w:eastAsia="ko-KR"/>
        </w:rPr>
      </w:pPr>
      <w:r>
        <w:rPr>
          <w:rFonts w:eastAsia="맑은 고딕" w:hint="eastAsia"/>
          <w:lang w:val="en-US" w:eastAsia="ko-KR"/>
        </w:rPr>
        <w:t xml:space="preserve">- In Rel-12, </w:t>
      </w:r>
      <w:r w:rsidRPr="00074925">
        <w:rPr>
          <w:rFonts w:eastAsia="맑은 고딕"/>
          <w:lang w:val="en-US" w:eastAsia="ko-KR"/>
        </w:rPr>
        <w:t xml:space="preserve">the </w:t>
      </w:r>
      <w:r>
        <w:rPr>
          <w:rFonts w:eastAsia="맑은 고딕" w:hint="eastAsia"/>
          <w:lang w:val="en-US" w:eastAsia="ko-KR"/>
        </w:rPr>
        <w:t>WAN</w:t>
      </w:r>
      <w:r w:rsidRPr="00074925">
        <w:rPr>
          <w:rFonts w:eastAsia="맑은 고딕"/>
          <w:lang w:val="en-US" w:eastAsia="ko-KR"/>
        </w:rPr>
        <w:t xml:space="preserve"> transmission in serving cell is prioritized over sidelink direct discovery transmission in serving cell. So prioritize transmission in serving carrier over sidelink direct discovery transmission on non-serving carrier if transmission in serving carrier is transmission on </w:t>
      </w:r>
      <w:r>
        <w:rPr>
          <w:rFonts w:eastAsia="맑은 고딕" w:hint="eastAsia"/>
          <w:lang w:val="en-US" w:eastAsia="ko-KR"/>
        </w:rPr>
        <w:t>WAN</w:t>
      </w:r>
      <w:r w:rsidRPr="00074925">
        <w:rPr>
          <w:rFonts w:eastAsia="맑은 고딕"/>
          <w:lang w:val="en-US" w:eastAsia="ko-KR"/>
        </w:rPr>
        <w:t>.</w:t>
      </w:r>
    </w:p>
    <w:p w:rsidR="00074925" w:rsidRDefault="00074925" w:rsidP="00074925">
      <w:pPr>
        <w:overflowPunct/>
        <w:autoSpaceDE/>
        <w:autoSpaceDN/>
        <w:adjustRightInd/>
        <w:ind w:left="142" w:hangingChars="71" w:hanging="142"/>
        <w:jc w:val="both"/>
        <w:textAlignment w:val="auto"/>
        <w:rPr>
          <w:rFonts w:eastAsia="맑은 고딕"/>
          <w:lang w:eastAsia="ko-KR"/>
        </w:rPr>
      </w:pPr>
      <w:r>
        <w:rPr>
          <w:rFonts w:eastAsia="맑은 고딕" w:hint="eastAsia"/>
          <w:lang w:val="en-US" w:eastAsia="ko-KR"/>
        </w:rPr>
        <w:t xml:space="preserve">- The </w:t>
      </w:r>
      <w:r w:rsidRPr="00074925">
        <w:rPr>
          <w:rFonts w:eastAsia="맑은 고딕"/>
          <w:lang w:val="en-US" w:eastAsia="ko-KR"/>
        </w:rPr>
        <w:t>PS discovery is performed on PS Prose carrier. The non-PS discovery may or may not be supported on PS ProSe carrier. A PS UE may be performing PS discovery on non-serving carrier and PS discovery on serving carrier. In Release 12 sidelink communications (for PS) is prioritized over sidelink direct discovery transmission (for commercial discovery). So prioritize sidelink direct discovery transmission in non-serving carrier over transmission in serving carrier if transmission in serving carrier is sidelink direct discovery transmission for non-PS discovery</w:t>
      </w:r>
    </w:p>
    <w:p w:rsidR="00631128" w:rsidRPr="00731EBF" w:rsidRDefault="00B0216C" w:rsidP="00ED7614">
      <w:pPr>
        <w:spacing w:line="200" w:lineRule="exact"/>
        <w:jc w:val="both"/>
        <w:rPr>
          <w:rFonts w:eastAsia="맑은 고딕"/>
          <w:i/>
          <w:lang w:val="en-US" w:eastAsia="ko-KR"/>
        </w:rPr>
      </w:pPr>
      <w:r>
        <w:rPr>
          <w:rFonts w:eastAsia="맑은 고딕" w:hint="eastAsia"/>
          <w:b/>
          <w:lang w:val="en-US" w:eastAsia="ko-KR"/>
        </w:rPr>
        <w:t>Proposal</w:t>
      </w:r>
      <w:r w:rsidR="00074925">
        <w:rPr>
          <w:rFonts w:eastAsia="맑은 고딕" w:hint="eastAsia"/>
          <w:b/>
          <w:lang w:val="en-US" w:eastAsia="ko-KR"/>
        </w:rPr>
        <w:t xml:space="preserve"> 4</w:t>
      </w:r>
      <w:r w:rsidR="00ED7614" w:rsidRPr="00731EBF">
        <w:rPr>
          <w:rFonts w:eastAsia="맑은 고딕" w:hint="eastAsia"/>
          <w:b/>
          <w:lang w:val="en-US" w:eastAsia="ko-KR"/>
        </w:rPr>
        <w:t>:</w:t>
      </w:r>
      <w:r w:rsidR="00ED7614" w:rsidRPr="00731EBF">
        <w:rPr>
          <w:rFonts w:eastAsia="맑은 고딕" w:hint="eastAsia"/>
          <w:lang w:val="en-US" w:eastAsia="ko-KR"/>
        </w:rPr>
        <w:t xml:space="preserve"> </w:t>
      </w:r>
      <w:r w:rsidR="00074925" w:rsidRPr="00074925">
        <w:rPr>
          <w:rFonts w:eastAsia="맑은 고딕"/>
          <w:i/>
          <w:lang w:val="en-US" w:eastAsia="ko-KR"/>
        </w:rPr>
        <w:t xml:space="preserve">RAN should discuss and decide whether UE should follow option 1 or option 2 when </w:t>
      </w:r>
      <w:r w:rsidR="00074925">
        <w:rPr>
          <w:rFonts w:eastAsia="맑은 고딕" w:hint="eastAsia"/>
          <w:i/>
          <w:lang w:val="en-US" w:eastAsia="ko-KR"/>
        </w:rPr>
        <w:t>there is</w:t>
      </w:r>
      <w:r w:rsidR="00CE7AD4">
        <w:rPr>
          <w:rFonts w:eastAsia="맑은 고딕" w:hint="eastAsia"/>
          <w:i/>
          <w:lang w:val="en-US" w:eastAsia="ko-KR"/>
        </w:rPr>
        <w:t xml:space="preserve"> the power limitation issue</w:t>
      </w:r>
      <w:r w:rsidR="00074925" w:rsidRPr="00074925">
        <w:rPr>
          <w:rFonts w:eastAsia="맑은 고딕" w:hint="eastAsia"/>
          <w:i/>
          <w:lang w:val="en-US" w:eastAsia="ko-KR"/>
        </w:rPr>
        <w:t>.</w:t>
      </w:r>
      <w:r w:rsidR="00631128" w:rsidRPr="00731EBF">
        <w:rPr>
          <w:rFonts w:eastAsia="맑은 고딕" w:hint="eastAsia"/>
          <w:i/>
          <w:lang w:val="en-US" w:eastAsia="ko-KR"/>
        </w:rPr>
        <w:t xml:space="preserve"> </w:t>
      </w:r>
    </w:p>
    <w:p w:rsidR="00ED7614" w:rsidRDefault="00074925" w:rsidP="00CE7AD4">
      <w:pPr>
        <w:numPr>
          <w:ilvl w:val="0"/>
          <w:numId w:val="37"/>
        </w:numPr>
        <w:spacing w:after="160"/>
        <w:ind w:left="714" w:hanging="357"/>
        <w:jc w:val="both"/>
        <w:rPr>
          <w:rFonts w:eastAsia="맑은 고딕"/>
          <w:i/>
          <w:lang w:val="en-US" w:eastAsia="ko-KR"/>
        </w:rPr>
      </w:pPr>
      <w:r>
        <w:rPr>
          <w:rFonts w:eastAsia="맑은 고딕" w:hint="eastAsia"/>
          <w:i/>
          <w:lang w:eastAsia="ko-KR"/>
        </w:rPr>
        <w:t xml:space="preserve">Option 1: </w:t>
      </w:r>
      <w:r w:rsidRPr="00074925">
        <w:rPr>
          <w:rFonts w:eastAsia="맑은 고딕"/>
          <w:i/>
          <w:lang w:val="en-US" w:eastAsia="ko-KR"/>
        </w:rPr>
        <w:t>UE first allocate power for transmission on serving c</w:t>
      </w:r>
      <w:r w:rsidR="00CE7AD4">
        <w:rPr>
          <w:rFonts w:eastAsia="맑은 고딕"/>
          <w:i/>
          <w:lang w:val="en-US" w:eastAsia="ko-KR"/>
        </w:rPr>
        <w:t>arrier(s)</w:t>
      </w:r>
      <w:r w:rsidR="00CE7AD4">
        <w:rPr>
          <w:rFonts w:eastAsia="맑은 고딕" w:hint="eastAsia"/>
          <w:i/>
          <w:lang w:val="en-US" w:eastAsia="ko-KR"/>
        </w:rPr>
        <w:t>,</w:t>
      </w:r>
      <w:r w:rsidRPr="00074925">
        <w:rPr>
          <w:rFonts w:eastAsia="맑은 고딕"/>
          <w:i/>
          <w:lang w:val="en-US" w:eastAsia="ko-KR"/>
        </w:rPr>
        <w:t xml:space="preserve"> </w:t>
      </w:r>
      <w:r w:rsidR="00CE7AD4">
        <w:rPr>
          <w:rFonts w:eastAsia="맑은 고딕" w:hint="eastAsia"/>
          <w:i/>
          <w:lang w:val="en-US" w:eastAsia="ko-KR"/>
        </w:rPr>
        <w:t>and then UE</w:t>
      </w:r>
      <w:r w:rsidRPr="00074925">
        <w:rPr>
          <w:rFonts w:eastAsia="맑은 고딕"/>
          <w:i/>
          <w:lang w:val="en-US" w:eastAsia="ko-KR"/>
        </w:rPr>
        <w:t xml:space="preserve"> transmit</w:t>
      </w:r>
      <w:r w:rsidR="00CE7AD4">
        <w:rPr>
          <w:rFonts w:eastAsia="맑은 고딕" w:hint="eastAsia"/>
          <w:i/>
          <w:lang w:val="en-US" w:eastAsia="ko-KR"/>
        </w:rPr>
        <w:t>s</w:t>
      </w:r>
      <w:r w:rsidRPr="00074925">
        <w:rPr>
          <w:rFonts w:eastAsia="맑은 고딕"/>
          <w:i/>
          <w:lang w:val="en-US" w:eastAsia="ko-KR"/>
        </w:rPr>
        <w:t xml:space="preserve"> the sidelink direct discovery transmission on non-serving carrier using the remaining power</w:t>
      </w:r>
      <w:r w:rsidR="00631128" w:rsidRPr="00731EBF">
        <w:rPr>
          <w:rFonts w:eastAsia="맑은 고딕" w:hint="eastAsia"/>
          <w:i/>
          <w:lang w:val="en-US" w:eastAsia="ko-KR"/>
        </w:rPr>
        <w:t>.</w:t>
      </w:r>
    </w:p>
    <w:p w:rsidR="00074925" w:rsidRPr="00731EBF" w:rsidRDefault="00074925" w:rsidP="00631128">
      <w:pPr>
        <w:numPr>
          <w:ilvl w:val="0"/>
          <w:numId w:val="37"/>
        </w:numPr>
        <w:jc w:val="both"/>
        <w:rPr>
          <w:rFonts w:eastAsia="맑은 고딕"/>
          <w:i/>
          <w:lang w:val="en-US" w:eastAsia="ko-KR"/>
        </w:rPr>
      </w:pPr>
      <w:r>
        <w:rPr>
          <w:rFonts w:eastAsia="맑은 고딕" w:hint="eastAsia"/>
          <w:i/>
          <w:lang w:val="en-US" w:eastAsia="ko-KR"/>
        </w:rPr>
        <w:t xml:space="preserve">Option 2: </w:t>
      </w:r>
      <w:r w:rsidRPr="00074925">
        <w:rPr>
          <w:rFonts w:eastAsia="맑은 고딕"/>
          <w:i/>
          <w:lang w:val="en-US" w:eastAsia="ko-KR"/>
        </w:rPr>
        <w:t xml:space="preserve">UE does not transmit in non-serving carrier if transmission in serving carrier is transmission on </w:t>
      </w:r>
      <w:r w:rsidR="00CE7AD4">
        <w:rPr>
          <w:rFonts w:eastAsia="맑은 고딕" w:hint="eastAsia"/>
          <w:i/>
          <w:lang w:val="en-US" w:eastAsia="ko-KR"/>
        </w:rPr>
        <w:t>WAN</w:t>
      </w:r>
      <w:r w:rsidRPr="00074925">
        <w:rPr>
          <w:rFonts w:eastAsia="맑은 고딕"/>
          <w:i/>
          <w:lang w:val="en-US" w:eastAsia="ko-KR"/>
        </w:rPr>
        <w:t>. UE does not transmit in serving carrier if transmission in serving carrier is sidelink direct discovery transmission for non-PS discovery</w:t>
      </w:r>
      <w:r>
        <w:rPr>
          <w:rFonts w:eastAsia="맑은 고딕" w:hint="eastAsia"/>
          <w:i/>
          <w:lang w:val="en-US" w:eastAsia="ko-KR"/>
        </w:rPr>
        <w:t>.</w:t>
      </w:r>
    </w:p>
    <w:p w:rsidR="003871A8" w:rsidRPr="00731EBF" w:rsidRDefault="002A52D0" w:rsidP="002E3516">
      <w:pPr>
        <w:pStyle w:val="1"/>
        <w:ind w:left="567" w:hanging="567"/>
        <w:rPr>
          <w:rFonts w:eastAsia="SimSun"/>
        </w:rPr>
      </w:pPr>
      <w:r w:rsidRPr="00731EBF">
        <w:rPr>
          <w:rFonts w:eastAsia="맑은 고딕" w:hint="eastAsia"/>
          <w:lang w:eastAsia="ko-KR"/>
        </w:rPr>
        <w:t>3</w:t>
      </w:r>
      <w:r w:rsidR="0087551D" w:rsidRPr="00731EBF">
        <w:rPr>
          <w:rFonts w:eastAsia="맑은 고딕" w:hint="eastAsia"/>
          <w:lang w:eastAsia="ko-KR"/>
        </w:rPr>
        <w:tab/>
      </w:r>
      <w:r w:rsidR="003871A8" w:rsidRPr="00731EBF">
        <w:rPr>
          <w:rFonts w:eastAsia="SimSun"/>
        </w:rPr>
        <w:t>Conclusion</w:t>
      </w:r>
    </w:p>
    <w:p w:rsidR="008E2149" w:rsidRPr="00731EBF" w:rsidRDefault="00CE7AD4" w:rsidP="00CE7AD4">
      <w:pPr>
        <w:pStyle w:val="af2"/>
        <w:overflowPunct/>
        <w:autoSpaceDE/>
        <w:autoSpaceDN/>
        <w:adjustRightInd/>
        <w:spacing w:after="120"/>
        <w:ind w:leftChars="0" w:left="0"/>
        <w:jc w:val="both"/>
        <w:textAlignment w:val="auto"/>
        <w:rPr>
          <w:rFonts w:eastAsia="맑은 고딕"/>
          <w:lang w:eastAsia="ko-KR"/>
        </w:rPr>
      </w:pPr>
      <w:r>
        <w:rPr>
          <w:rFonts w:eastAsia="맑은 고딕" w:hint="eastAsia"/>
          <w:lang w:eastAsia="ko-KR"/>
        </w:rPr>
        <w:t>In t</w:t>
      </w:r>
      <w:r w:rsidR="00B00677" w:rsidRPr="00731EBF">
        <w:rPr>
          <w:rFonts w:eastAsia="맑은 고딕" w:hint="eastAsia"/>
          <w:lang w:eastAsia="ko-KR"/>
        </w:rPr>
        <w:t>his document</w:t>
      </w:r>
      <w:r>
        <w:rPr>
          <w:rFonts w:eastAsia="맑은 고딕" w:hint="eastAsia"/>
          <w:lang w:eastAsia="ko-KR"/>
        </w:rPr>
        <w:t>, we have discussed</w:t>
      </w:r>
      <w:r w:rsidR="00B00677" w:rsidRPr="00731EBF">
        <w:rPr>
          <w:rFonts w:eastAsia="맑은 고딕" w:hint="eastAsia"/>
          <w:lang w:eastAsia="ko-KR"/>
        </w:rPr>
        <w:t xml:space="preserve"> </w:t>
      </w:r>
      <w:r>
        <w:rPr>
          <w:rFonts w:eastAsia="맑은 고딕" w:hint="eastAsia"/>
          <w:lang w:eastAsia="ko-KR"/>
        </w:rPr>
        <w:t>issues on eD2D power control and power limitation during concurrent transmission in serving carrier and sidelink direct discovery transmission in non-serving carrier</w:t>
      </w:r>
      <w:r w:rsidR="00731EBF" w:rsidRPr="00731EBF">
        <w:rPr>
          <w:rFonts w:eastAsia="맑은 고딕" w:hint="eastAsia"/>
          <w:lang w:eastAsia="ko-KR"/>
        </w:rPr>
        <w:t>. The following are our observation and proposal</w:t>
      </w:r>
      <w:r>
        <w:rPr>
          <w:rFonts w:eastAsia="맑은 고딕" w:hint="eastAsia"/>
          <w:lang w:eastAsia="ko-KR"/>
        </w:rPr>
        <w:t>s</w:t>
      </w:r>
      <w:r w:rsidR="00731EBF" w:rsidRPr="00731EBF">
        <w:rPr>
          <w:rFonts w:eastAsia="맑은 고딕" w:hint="eastAsia"/>
          <w:lang w:eastAsia="ko-KR"/>
        </w:rPr>
        <w:t>:</w:t>
      </w:r>
    </w:p>
    <w:p w:rsidR="00074925" w:rsidRDefault="00074925" w:rsidP="00074925">
      <w:pPr>
        <w:jc w:val="both"/>
        <w:rPr>
          <w:rFonts w:eastAsia="맑은 고딕"/>
          <w:i/>
          <w:lang w:val="en-US" w:eastAsia="ko-KR"/>
        </w:rPr>
      </w:pPr>
      <w:r>
        <w:rPr>
          <w:rFonts w:eastAsia="맑은 고딕" w:hint="eastAsia"/>
          <w:b/>
          <w:lang w:eastAsia="ko-KR"/>
        </w:rPr>
        <w:lastRenderedPageBreak/>
        <w:t>Proposal</w:t>
      </w:r>
      <w:r w:rsidRPr="00731EBF">
        <w:rPr>
          <w:rFonts w:eastAsia="맑은 고딕" w:hint="eastAsia"/>
          <w:b/>
          <w:lang w:eastAsia="ko-KR"/>
        </w:rPr>
        <w:t xml:space="preserve"> </w:t>
      </w:r>
      <w:r>
        <w:rPr>
          <w:rFonts w:eastAsia="맑은 고딕" w:hint="eastAsia"/>
          <w:b/>
          <w:lang w:val="en-US" w:eastAsia="ko-KR"/>
        </w:rPr>
        <w:t>1</w:t>
      </w:r>
      <w:r w:rsidRPr="00731EBF">
        <w:rPr>
          <w:rFonts w:eastAsia="맑은 고딕" w:hint="eastAsia"/>
          <w:b/>
          <w:lang w:val="en-US" w:eastAsia="ko-KR"/>
        </w:rPr>
        <w:t>:</w:t>
      </w:r>
      <w:r w:rsidRPr="00731EBF">
        <w:rPr>
          <w:rFonts w:eastAsia="맑은 고딕" w:hint="eastAsia"/>
          <w:lang w:val="en-US" w:eastAsia="ko-KR"/>
        </w:rPr>
        <w:t xml:space="preserve"> </w:t>
      </w:r>
      <w:r>
        <w:rPr>
          <w:rFonts w:eastAsia="맑은 고딕" w:hint="eastAsia"/>
          <w:i/>
          <w:lang w:val="en-US" w:eastAsia="ko-KR"/>
        </w:rPr>
        <w:t>Open-loop power control is needed to minimize WAN impact when sidelink discovery announcement is allowed in a non-serving carrier.</w:t>
      </w:r>
    </w:p>
    <w:p w:rsidR="00074925" w:rsidRDefault="00074925" w:rsidP="00074925">
      <w:pPr>
        <w:overflowPunct/>
        <w:autoSpaceDE/>
        <w:autoSpaceDN/>
        <w:adjustRightInd/>
        <w:jc w:val="both"/>
        <w:textAlignment w:val="auto"/>
        <w:rPr>
          <w:rFonts w:eastAsia="맑은 고딕"/>
          <w:i/>
          <w:lang w:eastAsia="ko-KR"/>
        </w:rPr>
      </w:pPr>
      <w:r>
        <w:rPr>
          <w:rFonts w:eastAsia="맑은 고딕" w:hint="eastAsia"/>
          <w:b/>
          <w:lang w:eastAsia="ko-KR"/>
        </w:rPr>
        <w:t>Proposal</w:t>
      </w:r>
      <w:r w:rsidRPr="00731EBF">
        <w:rPr>
          <w:rFonts w:eastAsia="맑은 고딕" w:hint="eastAsia"/>
          <w:b/>
          <w:lang w:eastAsia="ko-KR"/>
        </w:rPr>
        <w:t xml:space="preserve"> </w:t>
      </w:r>
      <w:r>
        <w:rPr>
          <w:rFonts w:eastAsia="맑은 고딕" w:hint="eastAsia"/>
          <w:b/>
          <w:lang w:eastAsia="ko-KR"/>
        </w:rPr>
        <w:t>2</w:t>
      </w:r>
      <w:r w:rsidRPr="00731EBF">
        <w:rPr>
          <w:rFonts w:eastAsia="맑은 고딕" w:hint="eastAsia"/>
          <w:lang w:eastAsia="ko-KR"/>
        </w:rPr>
        <w:t xml:space="preserve">: </w:t>
      </w:r>
      <w:r>
        <w:rPr>
          <w:rFonts w:eastAsia="맑은 고딕" w:hint="eastAsia"/>
          <w:i/>
          <w:lang w:eastAsia="ko-KR"/>
        </w:rPr>
        <w:t>A non-serving cell provides transmission resource pool configuration and transmission parameters via SIB19 and an eD2D UE who wants sidelink discovery transmission in a non-serving carrier reads SIB 19 of the non-serving cell.</w:t>
      </w:r>
    </w:p>
    <w:p w:rsidR="00074925" w:rsidRDefault="00074925" w:rsidP="00074925">
      <w:pPr>
        <w:overflowPunct/>
        <w:autoSpaceDE/>
        <w:autoSpaceDN/>
        <w:adjustRightInd/>
        <w:jc w:val="both"/>
        <w:textAlignment w:val="auto"/>
        <w:rPr>
          <w:rFonts w:eastAsia="맑은 고딕"/>
          <w:i/>
          <w:lang w:eastAsia="ko-KR"/>
        </w:rPr>
      </w:pPr>
      <w:r>
        <w:rPr>
          <w:rFonts w:eastAsia="맑은 고딕" w:hint="eastAsia"/>
          <w:b/>
          <w:lang w:eastAsia="ko-KR"/>
        </w:rPr>
        <w:t>Proposal</w:t>
      </w:r>
      <w:r w:rsidRPr="00731EBF">
        <w:rPr>
          <w:rFonts w:eastAsia="맑은 고딕" w:hint="eastAsia"/>
          <w:b/>
          <w:lang w:eastAsia="ko-KR"/>
        </w:rPr>
        <w:t xml:space="preserve"> </w:t>
      </w:r>
      <w:r>
        <w:rPr>
          <w:rFonts w:eastAsia="맑은 고딕" w:hint="eastAsia"/>
          <w:b/>
          <w:lang w:eastAsia="ko-KR"/>
        </w:rPr>
        <w:t>3</w:t>
      </w:r>
      <w:r w:rsidRPr="00731EBF">
        <w:rPr>
          <w:rFonts w:eastAsia="맑은 고딕" w:hint="eastAsia"/>
          <w:lang w:eastAsia="ko-KR"/>
        </w:rPr>
        <w:t xml:space="preserve">: </w:t>
      </w:r>
      <w:r>
        <w:rPr>
          <w:rFonts w:eastAsia="맑은 고딕" w:hint="eastAsia"/>
          <w:i/>
          <w:lang w:eastAsia="ko-KR"/>
        </w:rPr>
        <w:t>An eD2D UE who wants sidelink discovery transmission in a non-serving carrier estimates the path-loss based on RSRP measured from the non-serving carrier.</w:t>
      </w:r>
    </w:p>
    <w:p w:rsidR="00074925" w:rsidRPr="00731EBF" w:rsidRDefault="00074925" w:rsidP="00074925">
      <w:pPr>
        <w:jc w:val="both"/>
        <w:rPr>
          <w:rFonts w:eastAsia="맑은 고딕"/>
          <w:i/>
          <w:lang w:val="en-US" w:eastAsia="ko-KR"/>
        </w:rPr>
      </w:pPr>
      <w:r>
        <w:rPr>
          <w:rFonts w:eastAsia="맑은 고딕" w:hint="eastAsia"/>
          <w:b/>
          <w:lang w:eastAsia="ko-KR"/>
        </w:rPr>
        <w:t>Observation</w:t>
      </w:r>
      <w:r w:rsidRPr="00731EBF">
        <w:rPr>
          <w:rFonts w:eastAsia="맑은 고딕" w:hint="eastAsia"/>
          <w:b/>
          <w:lang w:val="en-US" w:eastAsia="ko-KR"/>
        </w:rPr>
        <w:t>:</w:t>
      </w:r>
      <w:r w:rsidRPr="00731EBF">
        <w:rPr>
          <w:rFonts w:eastAsia="맑은 고딕" w:hint="eastAsia"/>
          <w:lang w:val="en-US" w:eastAsia="ko-KR"/>
        </w:rPr>
        <w:t xml:space="preserve"> </w:t>
      </w:r>
      <w:r w:rsidRPr="002E1342">
        <w:rPr>
          <w:rFonts w:eastAsia="맑은 고딕"/>
          <w:i/>
          <w:lang w:val="en-US" w:eastAsia="ko-KR"/>
        </w:rPr>
        <w:t>Sum of calculated transmit power for sidelink direct discovery transmissions in non-serving carrier and transmit power for transmission on serving carrier may be greater than maximum power available for transmission</w:t>
      </w:r>
      <w:r w:rsidRPr="00731EBF">
        <w:rPr>
          <w:rFonts w:eastAsia="맑은 고딕" w:hint="eastAsia"/>
          <w:i/>
          <w:lang w:val="en-US" w:eastAsia="ko-KR"/>
        </w:rPr>
        <w:t>.</w:t>
      </w:r>
    </w:p>
    <w:p w:rsidR="00074925" w:rsidRPr="00731EBF" w:rsidRDefault="00074925" w:rsidP="00074925">
      <w:pPr>
        <w:spacing w:line="200" w:lineRule="exact"/>
        <w:jc w:val="both"/>
        <w:rPr>
          <w:rFonts w:eastAsia="맑은 고딕"/>
          <w:i/>
          <w:lang w:val="en-US" w:eastAsia="ko-KR"/>
        </w:rPr>
      </w:pPr>
      <w:r>
        <w:rPr>
          <w:rFonts w:eastAsia="맑은 고딕" w:hint="eastAsia"/>
          <w:b/>
          <w:lang w:val="en-US" w:eastAsia="ko-KR"/>
        </w:rPr>
        <w:t>Proposal 4</w:t>
      </w:r>
      <w:r w:rsidRPr="00731EBF">
        <w:rPr>
          <w:rFonts w:eastAsia="맑은 고딕" w:hint="eastAsia"/>
          <w:b/>
          <w:lang w:val="en-US" w:eastAsia="ko-KR"/>
        </w:rPr>
        <w:t>:</w:t>
      </w:r>
      <w:r w:rsidRPr="00731EBF">
        <w:rPr>
          <w:rFonts w:eastAsia="맑은 고딕" w:hint="eastAsia"/>
          <w:lang w:val="en-US" w:eastAsia="ko-KR"/>
        </w:rPr>
        <w:t xml:space="preserve"> </w:t>
      </w:r>
      <w:r w:rsidRPr="00074925">
        <w:rPr>
          <w:rFonts w:eastAsia="맑은 고딕"/>
          <w:i/>
          <w:lang w:val="en-US" w:eastAsia="ko-KR"/>
        </w:rPr>
        <w:t xml:space="preserve">RAN should discuss and decide whether UE should follow option 1 or option 2 </w:t>
      </w:r>
      <w:r w:rsidR="00CE7AD4" w:rsidRPr="00074925">
        <w:rPr>
          <w:rFonts w:eastAsia="맑은 고딕"/>
          <w:i/>
          <w:lang w:val="en-US" w:eastAsia="ko-KR"/>
        </w:rPr>
        <w:t xml:space="preserve">when </w:t>
      </w:r>
      <w:r w:rsidR="00CE7AD4">
        <w:rPr>
          <w:rFonts w:eastAsia="맑은 고딕" w:hint="eastAsia"/>
          <w:i/>
          <w:lang w:val="en-US" w:eastAsia="ko-KR"/>
        </w:rPr>
        <w:t>there is the power limitation issue</w:t>
      </w:r>
      <w:r w:rsidRPr="00074925">
        <w:rPr>
          <w:rFonts w:eastAsia="맑은 고딕" w:hint="eastAsia"/>
          <w:i/>
          <w:lang w:val="en-US" w:eastAsia="ko-KR"/>
        </w:rPr>
        <w:t>.</w:t>
      </w:r>
      <w:r w:rsidRPr="00731EBF">
        <w:rPr>
          <w:rFonts w:eastAsia="맑은 고딕" w:hint="eastAsia"/>
          <w:i/>
          <w:lang w:val="en-US" w:eastAsia="ko-KR"/>
        </w:rPr>
        <w:t xml:space="preserve"> </w:t>
      </w:r>
    </w:p>
    <w:p w:rsidR="00CE7AD4" w:rsidRDefault="00CE7AD4" w:rsidP="00CE7AD4">
      <w:pPr>
        <w:numPr>
          <w:ilvl w:val="0"/>
          <w:numId w:val="37"/>
        </w:numPr>
        <w:spacing w:after="160"/>
        <w:ind w:left="714" w:hanging="357"/>
        <w:jc w:val="both"/>
        <w:rPr>
          <w:rFonts w:eastAsia="맑은 고딕"/>
          <w:i/>
          <w:lang w:val="en-US" w:eastAsia="ko-KR"/>
        </w:rPr>
      </w:pPr>
      <w:r>
        <w:rPr>
          <w:rFonts w:eastAsia="맑은 고딕" w:hint="eastAsia"/>
          <w:i/>
          <w:lang w:eastAsia="ko-KR"/>
        </w:rPr>
        <w:t xml:space="preserve">Option 1: </w:t>
      </w:r>
      <w:r w:rsidRPr="00074925">
        <w:rPr>
          <w:rFonts w:eastAsia="맑은 고딕"/>
          <w:i/>
          <w:lang w:val="en-US" w:eastAsia="ko-KR"/>
        </w:rPr>
        <w:t>UE first allocate power for transmission on serving c</w:t>
      </w:r>
      <w:r>
        <w:rPr>
          <w:rFonts w:eastAsia="맑은 고딕"/>
          <w:i/>
          <w:lang w:val="en-US" w:eastAsia="ko-KR"/>
        </w:rPr>
        <w:t>arrier(s)</w:t>
      </w:r>
      <w:r>
        <w:rPr>
          <w:rFonts w:eastAsia="맑은 고딕" w:hint="eastAsia"/>
          <w:i/>
          <w:lang w:val="en-US" w:eastAsia="ko-KR"/>
        </w:rPr>
        <w:t>,</w:t>
      </w:r>
      <w:r w:rsidRPr="00074925">
        <w:rPr>
          <w:rFonts w:eastAsia="맑은 고딕"/>
          <w:i/>
          <w:lang w:val="en-US" w:eastAsia="ko-KR"/>
        </w:rPr>
        <w:t xml:space="preserve"> </w:t>
      </w:r>
      <w:r>
        <w:rPr>
          <w:rFonts w:eastAsia="맑은 고딕" w:hint="eastAsia"/>
          <w:i/>
          <w:lang w:val="en-US" w:eastAsia="ko-KR"/>
        </w:rPr>
        <w:t>and then UE</w:t>
      </w:r>
      <w:r w:rsidRPr="00074925">
        <w:rPr>
          <w:rFonts w:eastAsia="맑은 고딕"/>
          <w:i/>
          <w:lang w:val="en-US" w:eastAsia="ko-KR"/>
        </w:rPr>
        <w:t xml:space="preserve"> transmit</w:t>
      </w:r>
      <w:r>
        <w:rPr>
          <w:rFonts w:eastAsia="맑은 고딕" w:hint="eastAsia"/>
          <w:i/>
          <w:lang w:val="en-US" w:eastAsia="ko-KR"/>
        </w:rPr>
        <w:t>s</w:t>
      </w:r>
      <w:r w:rsidRPr="00074925">
        <w:rPr>
          <w:rFonts w:eastAsia="맑은 고딕"/>
          <w:i/>
          <w:lang w:val="en-US" w:eastAsia="ko-KR"/>
        </w:rPr>
        <w:t xml:space="preserve"> the sidelink direct discovery transmission on non-serving carrier using the remaining power</w:t>
      </w:r>
      <w:r w:rsidRPr="00731EBF">
        <w:rPr>
          <w:rFonts w:eastAsia="맑은 고딕" w:hint="eastAsia"/>
          <w:i/>
          <w:lang w:val="en-US" w:eastAsia="ko-KR"/>
        </w:rPr>
        <w:t>.</w:t>
      </w:r>
    </w:p>
    <w:p w:rsidR="00CE7AD4" w:rsidRPr="00731EBF" w:rsidRDefault="00CE7AD4" w:rsidP="00CE7AD4">
      <w:pPr>
        <w:numPr>
          <w:ilvl w:val="0"/>
          <w:numId w:val="37"/>
        </w:numPr>
        <w:jc w:val="both"/>
        <w:rPr>
          <w:rFonts w:eastAsia="맑은 고딕"/>
          <w:i/>
          <w:lang w:val="en-US" w:eastAsia="ko-KR"/>
        </w:rPr>
      </w:pPr>
      <w:r>
        <w:rPr>
          <w:rFonts w:eastAsia="맑은 고딕" w:hint="eastAsia"/>
          <w:i/>
          <w:lang w:val="en-US" w:eastAsia="ko-KR"/>
        </w:rPr>
        <w:t xml:space="preserve">Option 2: </w:t>
      </w:r>
      <w:r w:rsidRPr="00074925">
        <w:rPr>
          <w:rFonts w:eastAsia="맑은 고딕"/>
          <w:i/>
          <w:lang w:val="en-US" w:eastAsia="ko-KR"/>
        </w:rPr>
        <w:t xml:space="preserve">UE does not transmit in non-serving carrier if transmission in serving carrier is transmission on </w:t>
      </w:r>
      <w:r>
        <w:rPr>
          <w:rFonts w:eastAsia="맑은 고딕" w:hint="eastAsia"/>
          <w:i/>
          <w:lang w:val="en-US" w:eastAsia="ko-KR"/>
        </w:rPr>
        <w:t>WAN</w:t>
      </w:r>
      <w:r w:rsidRPr="00074925">
        <w:rPr>
          <w:rFonts w:eastAsia="맑은 고딕"/>
          <w:i/>
          <w:lang w:val="en-US" w:eastAsia="ko-KR"/>
        </w:rPr>
        <w:t>. UE does not transmit in serving carrier if transmission in serving carrier is sidelink direct discovery transmission for non-PS discovery</w:t>
      </w:r>
      <w:r>
        <w:rPr>
          <w:rFonts w:eastAsia="맑은 고딕" w:hint="eastAsia"/>
          <w:i/>
          <w:lang w:val="en-US" w:eastAsia="ko-KR"/>
        </w:rPr>
        <w:t>.</w:t>
      </w:r>
    </w:p>
    <w:p w:rsidR="0087551D" w:rsidRPr="00731EBF" w:rsidRDefault="00C97D7E" w:rsidP="002E3516">
      <w:pPr>
        <w:pStyle w:val="1"/>
        <w:ind w:left="567" w:hanging="567"/>
        <w:rPr>
          <w:rFonts w:eastAsia="SimSun"/>
        </w:rPr>
      </w:pPr>
      <w:r w:rsidRPr="00731EBF">
        <w:rPr>
          <w:rFonts w:eastAsia="맑은 고딕" w:hint="eastAsia"/>
          <w:lang w:eastAsia="ko-KR"/>
        </w:rPr>
        <w:t>4</w:t>
      </w:r>
      <w:r w:rsidR="0087551D" w:rsidRPr="00731EBF">
        <w:rPr>
          <w:rFonts w:eastAsia="맑은 고딕" w:hint="eastAsia"/>
          <w:lang w:eastAsia="ko-KR"/>
        </w:rPr>
        <w:tab/>
      </w:r>
      <w:r w:rsidR="0087551D" w:rsidRPr="00731EBF">
        <w:rPr>
          <w:rFonts w:eastAsia="SimSun"/>
        </w:rPr>
        <w:t>References</w:t>
      </w:r>
    </w:p>
    <w:p w:rsidR="00E947D2" w:rsidRPr="00731EBF" w:rsidRDefault="000C5ED4" w:rsidP="0087551D">
      <w:pPr>
        <w:pStyle w:val="aa"/>
        <w:numPr>
          <w:ilvl w:val="0"/>
          <w:numId w:val="1"/>
        </w:numPr>
        <w:rPr>
          <w:rFonts w:ascii="Times New Roman" w:hAnsi="Times New Roman"/>
          <w:szCs w:val="20"/>
        </w:rPr>
      </w:pPr>
      <w:bookmarkStart w:id="1" w:name="_Ref344895506"/>
      <w:bookmarkStart w:id="2" w:name="_Ref344729178"/>
      <w:r w:rsidRPr="00731EBF">
        <w:rPr>
          <w:rFonts w:eastAsia="맑은 고딕" w:hint="eastAsia"/>
          <w:lang w:eastAsia="ko-KR"/>
        </w:rPr>
        <w:t>RP-142311</w:t>
      </w:r>
      <w:r w:rsidRPr="00731EBF">
        <w:t>, “</w:t>
      </w:r>
      <w:r w:rsidRPr="00731EBF">
        <w:rPr>
          <w:rFonts w:eastAsia="맑은 고딕" w:hint="eastAsia"/>
          <w:lang w:eastAsia="ko-KR"/>
        </w:rPr>
        <w:t>Work item proposal for enhanced LTE device to device proximity</w:t>
      </w:r>
      <w:r w:rsidRPr="00731EBF">
        <w:t>”</w:t>
      </w:r>
      <w:r w:rsidRPr="00731EBF">
        <w:rPr>
          <w:rFonts w:eastAsia="맑은 고딕" w:hint="eastAsia"/>
          <w:lang w:eastAsia="ko-KR"/>
        </w:rPr>
        <w:t>, Qualcomm, December 2014</w:t>
      </w:r>
      <w:bookmarkEnd w:id="1"/>
      <w:bookmarkEnd w:id="2"/>
      <w:r w:rsidR="00085D27">
        <w:rPr>
          <w:rFonts w:eastAsia="맑은 고딕" w:hint="eastAsia"/>
          <w:lang w:eastAsia="ko-KR"/>
        </w:rPr>
        <w:t>.</w:t>
      </w:r>
    </w:p>
    <w:p w:rsidR="00AE7B2D" w:rsidRPr="00085D27" w:rsidRDefault="00AE7B2D" w:rsidP="00AE7B2D">
      <w:pPr>
        <w:pStyle w:val="aa"/>
        <w:numPr>
          <w:ilvl w:val="0"/>
          <w:numId w:val="1"/>
        </w:numPr>
        <w:rPr>
          <w:rFonts w:ascii="Times New Roman" w:hAnsi="Times New Roman"/>
          <w:szCs w:val="20"/>
        </w:rPr>
      </w:pPr>
      <w:r>
        <w:rPr>
          <w:rFonts w:ascii="Times New Roman" w:eastAsia="맑은 고딕" w:hAnsi="Times New Roman" w:hint="eastAsia"/>
          <w:szCs w:val="20"/>
          <w:lang w:eastAsia="ko-KR"/>
        </w:rPr>
        <w:t>R1-</w:t>
      </w:r>
      <w:r>
        <w:rPr>
          <w:rFonts w:ascii="Times New Roman" w:eastAsiaTheme="minorEastAsia" w:hAnsi="Times New Roman" w:hint="eastAsia"/>
          <w:szCs w:val="20"/>
          <w:lang w:eastAsia="ko-KR"/>
        </w:rPr>
        <w:t xml:space="preserve">151612, </w:t>
      </w:r>
      <w:r>
        <w:rPr>
          <w:rFonts w:ascii="Times New Roman" w:eastAsiaTheme="minorEastAsia" w:hAnsi="Times New Roman"/>
          <w:szCs w:val="20"/>
          <w:lang w:eastAsia="ko-KR"/>
        </w:rPr>
        <w:t>“</w:t>
      </w:r>
      <w:r>
        <w:rPr>
          <w:rFonts w:ascii="Times New Roman" w:eastAsiaTheme="minorEastAsia" w:hAnsi="Times New Roman" w:hint="eastAsia"/>
          <w:szCs w:val="20"/>
          <w:lang w:eastAsia="ko-KR"/>
        </w:rPr>
        <w:t>Resource allocation for D2D discovery on non-serving carriers,</w:t>
      </w:r>
      <w:r>
        <w:rPr>
          <w:rFonts w:ascii="Times New Roman" w:eastAsiaTheme="minorEastAsia" w:hAnsi="Times New Roman"/>
          <w:szCs w:val="20"/>
          <w:lang w:eastAsia="ko-KR"/>
        </w:rPr>
        <w:t>”</w:t>
      </w:r>
      <w:r>
        <w:rPr>
          <w:rFonts w:ascii="Times New Roman" w:eastAsiaTheme="minorEastAsia" w:hAnsi="Times New Roman" w:hint="eastAsia"/>
          <w:szCs w:val="20"/>
          <w:lang w:eastAsia="ko-KR"/>
        </w:rPr>
        <w:t xml:space="preserve"> Samsung, April 2015.</w:t>
      </w:r>
    </w:p>
    <w:p w:rsidR="00A25FBB" w:rsidRPr="0089166E" w:rsidRDefault="00D31BD8" w:rsidP="00085D27">
      <w:pPr>
        <w:pStyle w:val="aa"/>
        <w:numPr>
          <w:ilvl w:val="0"/>
          <w:numId w:val="1"/>
        </w:numPr>
        <w:rPr>
          <w:rFonts w:ascii="Times New Roman" w:hAnsi="Times New Roman"/>
          <w:szCs w:val="20"/>
        </w:rPr>
      </w:pPr>
      <w:r w:rsidRPr="00731EBF">
        <w:rPr>
          <w:rFonts w:ascii="Times New Roman" w:eastAsia="맑은 고딕" w:hAnsi="Times New Roman" w:hint="eastAsia"/>
          <w:szCs w:val="20"/>
          <w:lang w:eastAsia="ko-KR"/>
        </w:rPr>
        <w:t>R1-15</w:t>
      </w:r>
      <w:r w:rsidR="0092754D">
        <w:rPr>
          <w:rFonts w:ascii="Times New Roman" w:eastAsia="맑은 고딕" w:hAnsi="Times New Roman" w:hint="eastAsia"/>
          <w:szCs w:val="20"/>
          <w:lang w:eastAsia="ko-KR"/>
        </w:rPr>
        <w:t>1609</w:t>
      </w:r>
      <w:r w:rsidRPr="00731EBF">
        <w:rPr>
          <w:rFonts w:ascii="Times New Roman" w:eastAsia="맑은 고딕" w:hAnsi="Times New Roman" w:hint="eastAsia"/>
          <w:szCs w:val="20"/>
          <w:lang w:eastAsia="ko-KR"/>
        </w:rPr>
        <w:t xml:space="preserve">, </w:t>
      </w:r>
      <w:r w:rsidRPr="00731EBF">
        <w:rPr>
          <w:rFonts w:ascii="Times New Roman" w:eastAsia="맑은 고딕" w:hAnsi="Times New Roman"/>
          <w:szCs w:val="20"/>
          <w:lang w:eastAsia="ko-KR"/>
        </w:rPr>
        <w:t>“</w:t>
      </w:r>
      <w:r w:rsidR="00CC3C8A" w:rsidRPr="00731EBF">
        <w:rPr>
          <w:rFonts w:ascii="Times New Roman" w:eastAsia="맑은 고딕" w:hAnsi="Times New Roman" w:hint="eastAsia"/>
          <w:szCs w:val="20"/>
          <w:lang w:eastAsia="ko-KR"/>
        </w:rPr>
        <w:t>Discovery support in partial and outside network coverage scenarios</w:t>
      </w:r>
      <w:r w:rsidRPr="00731EBF">
        <w:rPr>
          <w:rFonts w:ascii="Times New Roman" w:eastAsia="맑은 고딕" w:hAnsi="Times New Roman"/>
          <w:szCs w:val="20"/>
          <w:lang w:eastAsia="ko-KR"/>
        </w:rPr>
        <w:t>”</w:t>
      </w:r>
      <w:r w:rsidRPr="00731EBF">
        <w:rPr>
          <w:rFonts w:ascii="Times New Roman" w:eastAsia="맑은 고딕" w:hAnsi="Times New Roman" w:hint="eastAsia"/>
          <w:szCs w:val="20"/>
          <w:lang w:eastAsia="ko-KR"/>
        </w:rPr>
        <w:t>, Samsung, April 2015</w:t>
      </w:r>
      <w:r w:rsidR="00085D27">
        <w:rPr>
          <w:rFonts w:ascii="Times New Roman" w:eastAsiaTheme="minorEastAsia" w:hAnsi="Times New Roman" w:hint="eastAsia"/>
          <w:szCs w:val="20"/>
          <w:lang w:eastAsia="ko-KR"/>
        </w:rPr>
        <w:t>.</w:t>
      </w:r>
    </w:p>
    <w:sectPr w:rsidR="00A25FBB" w:rsidRPr="0089166E" w:rsidSect="00B44700">
      <w:headerReference w:type="even" r:id="rId9"/>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1857" w:rsidRDefault="005D1857">
      <w:r>
        <w:separator/>
      </w:r>
    </w:p>
  </w:endnote>
  <w:endnote w:type="continuationSeparator" w:id="0">
    <w:p w:rsidR="005D1857" w:rsidRDefault="005D1857">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1857" w:rsidRDefault="005D1857">
      <w:r>
        <w:separator/>
      </w:r>
    </w:p>
  </w:footnote>
  <w:footnote w:type="continuationSeparator" w:id="0">
    <w:p w:rsidR="005D1857" w:rsidRDefault="005D18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305" w:rsidRDefault="00BF1305">
    <w:r>
      <w:t xml:space="preserve">Page </w:t>
    </w:r>
    <w:fldSimple w:instr="PAGE">
      <w:r>
        <w:t>4</w:t>
      </w:r>
    </w:fldSimple>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03478B9"/>
    <w:multiLevelType w:val="hybridMultilevel"/>
    <w:tmpl w:val="48C6607E"/>
    <w:lvl w:ilvl="0" w:tplc="298EBB4C">
      <w:start w:val="1"/>
      <w:numFmt w:val="bullet"/>
      <w:lvlText w:val="•"/>
      <w:lvlJc w:val="left"/>
      <w:pPr>
        <w:tabs>
          <w:tab w:val="num" w:pos="720"/>
        </w:tabs>
        <w:ind w:left="720" w:hanging="360"/>
      </w:pPr>
      <w:rPr>
        <w:rFonts w:ascii="Arial" w:hAnsi="Arial" w:hint="default"/>
      </w:rPr>
    </w:lvl>
    <w:lvl w:ilvl="1" w:tplc="CD023C14">
      <w:start w:val="6421"/>
      <w:numFmt w:val="bullet"/>
      <w:lvlText w:val="–"/>
      <w:lvlJc w:val="left"/>
      <w:pPr>
        <w:tabs>
          <w:tab w:val="num" w:pos="1440"/>
        </w:tabs>
        <w:ind w:left="1440" w:hanging="360"/>
      </w:pPr>
      <w:rPr>
        <w:rFonts w:ascii="Arial" w:hAnsi="Arial" w:hint="default"/>
      </w:rPr>
    </w:lvl>
    <w:lvl w:ilvl="2" w:tplc="58EE1684">
      <w:start w:val="6421"/>
      <w:numFmt w:val="bullet"/>
      <w:lvlText w:val="•"/>
      <w:lvlJc w:val="left"/>
      <w:pPr>
        <w:tabs>
          <w:tab w:val="num" w:pos="2160"/>
        </w:tabs>
        <w:ind w:left="2160" w:hanging="360"/>
      </w:pPr>
      <w:rPr>
        <w:rFonts w:ascii="Arial" w:hAnsi="Arial" w:hint="default"/>
      </w:rPr>
    </w:lvl>
    <w:lvl w:ilvl="3" w:tplc="2D0C9E08" w:tentative="1">
      <w:start w:val="1"/>
      <w:numFmt w:val="bullet"/>
      <w:lvlText w:val="•"/>
      <w:lvlJc w:val="left"/>
      <w:pPr>
        <w:tabs>
          <w:tab w:val="num" w:pos="2880"/>
        </w:tabs>
        <w:ind w:left="2880" w:hanging="360"/>
      </w:pPr>
      <w:rPr>
        <w:rFonts w:ascii="Arial" w:hAnsi="Arial" w:hint="default"/>
      </w:rPr>
    </w:lvl>
    <w:lvl w:ilvl="4" w:tplc="43E406C0" w:tentative="1">
      <w:start w:val="1"/>
      <w:numFmt w:val="bullet"/>
      <w:lvlText w:val="•"/>
      <w:lvlJc w:val="left"/>
      <w:pPr>
        <w:tabs>
          <w:tab w:val="num" w:pos="3600"/>
        </w:tabs>
        <w:ind w:left="3600" w:hanging="360"/>
      </w:pPr>
      <w:rPr>
        <w:rFonts w:ascii="Arial" w:hAnsi="Arial" w:hint="default"/>
      </w:rPr>
    </w:lvl>
    <w:lvl w:ilvl="5" w:tplc="316EC23A" w:tentative="1">
      <w:start w:val="1"/>
      <w:numFmt w:val="bullet"/>
      <w:lvlText w:val="•"/>
      <w:lvlJc w:val="left"/>
      <w:pPr>
        <w:tabs>
          <w:tab w:val="num" w:pos="4320"/>
        </w:tabs>
        <w:ind w:left="4320" w:hanging="360"/>
      </w:pPr>
      <w:rPr>
        <w:rFonts w:ascii="Arial" w:hAnsi="Arial" w:hint="default"/>
      </w:rPr>
    </w:lvl>
    <w:lvl w:ilvl="6" w:tplc="D51E7F50" w:tentative="1">
      <w:start w:val="1"/>
      <w:numFmt w:val="bullet"/>
      <w:lvlText w:val="•"/>
      <w:lvlJc w:val="left"/>
      <w:pPr>
        <w:tabs>
          <w:tab w:val="num" w:pos="5040"/>
        </w:tabs>
        <w:ind w:left="5040" w:hanging="360"/>
      </w:pPr>
      <w:rPr>
        <w:rFonts w:ascii="Arial" w:hAnsi="Arial" w:hint="default"/>
      </w:rPr>
    </w:lvl>
    <w:lvl w:ilvl="7" w:tplc="AC42D052" w:tentative="1">
      <w:start w:val="1"/>
      <w:numFmt w:val="bullet"/>
      <w:lvlText w:val="•"/>
      <w:lvlJc w:val="left"/>
      <w:pPr>
        <w:tabs>
          <w:tab w:val="num" w:pos="5760"/>
        </w:tabs>
        <w:ind w:left="5760" w:hanging="360"/>
      </w:pPr>
      <w:rPr>
        <w:rFonts w:ascii="Arial" w:hAnsi="Arial" w:hint="default"/>
      </w:rPr>
    </w:lvl>
    <w:lvl w:ilvl="8" w:tplc="597A196A" w:tentative="1">
      <w:start w:val="1"/>
      <w:numFmt w:val="bullet"/>
      <w:lvlText w:val="•"/>
      <w:lvlJc w:val="left"/>
      <w:pPr>
        <w:tabs>
          <w:tab w:val="num" w:pos="6480"/>
        </w:tabs>
        <w:ind w:left="6480" w:hanging="360"/>
      </w:pPr>
      <w:rPr>
        <w:rFonts w:ascii="Arial" w:hAnsi="Arial" w:hint="default"/>
      </w:rPr>
    </w:lvl>
  </w:abstractNum>
  <w:abstractNum w:abstractNumId="2">
    <w:nsid w:val="06D666FC"/>
    <w:multiLevelType w:val="hybridMultilevel"/>
    <w:tmpl w:val="4978E658"/>
    <w:lvl w:ilvl="0" w:tplc="D1FC6412">
      <w:numFmt w:val="bullet"/>
      <w:lvlText w:val="-"/>
      <w:lvlJc w:val="left"/>
      <w:pPr>
        <w:ind w:left="760" w:hanging="360"/>
      </w:pPr>
      <w:rPr>
        <w:rFonts w:ascii="Times New Roman" w:eastAsia="맑은 고딕" w:hAnsi="Times New Roman" w:cs="Times New Roman" w:hint="default"/>
      </w:rPr>
    </w:lvl>
    <w:lvl w:ilvl="1" w:tplc="093EED10">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8FC6E4E"/>
    <w:multiLevelType w:val="hybridMultilevel"/>
    <w:tmpl w:val="DDE648C8"/>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91469C7"/>
    <w:multiLevelType w:val="hybridMultilevel"/>
    <w:tmpl w:val="76FC14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B7385B"/>
    <w:multiLevelType w:val="multilevel"/>
    <w:tmpl w:val="81D40124"/>
    <w:lvl w:ilvl="0">
      <w:start w:val="2"/>
      <w:numFmt w:val="decimal"/>
      <w:lvlText w:val="%1"/>
      <w:lvlJc w:val="left"/>
      <w:pPr>
        <w:ind w:left="405" w:hanging="405"/>
      </w:pPr>
      <w:rPr>
        <w:rFonts w:eastAsia="MS Mincho" w:hint="default"/>
        <w:color w:val="auto"/>
      </w:rPr>
    </w:lvl>
    <w:lvl w:ilvl="1">
      <w:start w:val="1"/>
      <w:numFmt w:val="decimal"/>
      <w:lvlText w:val="%1.%2"/>
      <w:lvlJc w:val="left"/>
      <w:pPr>
        <w:ind w:left="405" w:hanging="405"/>
      </w:pPr>
      <w:rPr>
        <w:rFonts w:eastAsia="MS Mincho" w:hint="default"/>
        <w:color w:val="auto"/>
      </w:rPr>
    </w:lvl>
    <w:lvl w:ilvl="2">
      <w:start w:val="1"/>
      <w:numFmt w:val="decimal"/>
      <w:lvlText w:val="%1.%2.%3"/>
      <w:lvlJc w:val="left"/>
      <w:pPr>
        <w:ind w:left="720" w:hanging="720"/>
      </w:pPr>
      <w:rPr>
        <w:rFonts w:eastAsia="MS Mincho" w:hint="default"/>
        <w:color w:val="auto"/>
      </w:rPr>
    </w:lvl>
    <w:lvl w:ilvl="3">
      <w:start w:val="1"/>
      <w:numFmt w:val="decimal"/>
      <w:lvlText w:val="%1.%2.%3.%4"/>
      <w:lvlJc w:val="left"/>
      <w:pPr>
        <w:ind w:left="720" w:hanging="720"/>
      </w:pPr>
      <w:rPr>
        <w:rFonts w:eastAsia="MS Mincho" w:hint="default"/>
        <w:color w:val="auto"/>
      </w:rPr>
    </w:lvl>
    <w:lvl w:ilvl="4">
      <w:start w:val="1"/>
      <w:numFmt w:val="decimal"/>
      <w:lvlText w:val="%1.%2.%3.%4.%5"/>
      <w:lvlJc w:val="left"/>
      <w:pPr>
        <w:ind w:left="720" w:hanging="720"/>
      </w:pPr>
      <w:rPr>
        <w:rFonts w:eastAsia="MS Mincho" w:hint="default"/>
        <w:color w:val="auto"/>
      </w:rPr>
    </w:lvl>
    <w:lvl w:ilvl="5">
      <w:start w:val="1"/>
      <w:numFmt w:val="decimal"/>
      <w:lvlText w:val="%1.%2.%3.%4.%5.%6"/>
      <w:lvlJc w:val="left"/>
      <w:pPr>
        <w:ind w:left="1080" w:hanging="1080"/>
      </w:pPr>
      <w:rPr>
        <w:rFonts w:eastAsia="MS Mincho" w:hint="default"/>
        <w:color w:val="auto"/>
      </w:rPr>
    </w:lvl>
    <w:lvl w:ilvl="6">
      <w:start w:val="1"/>
      <w:numFmt w:val="decimal"/>
      <w:lvlText w:val="%1.%2.%3.%4.%5.%6.%7"/>
      <w:lvlJc w:val="left"/>
      <w:pPr>
        <w:ind w:left="1080" w:hanging="1080"/>
      </w:pPr>
      <w:rPr>
        <w:rFonts w:eastAsia="MS Mincho" w:hint="default"/>
        <w:color w:val="auto"/>
      </w:rPr>
    </w:lvl>
    <w:lvl w:ilvl="7">
      <w:start w:val="1"/>
      <w:numFmt w:val="decimal"/>
      <w:lvlText w:val="%1.%2.%3.%4.%5.%6.%7.%8"/>
      <w:lvlJc w:val="left"/>
      <w:pPr>
        <w:ind w:left="1440" w:hanging="1440"/>
      </w:pPr>
      <w:rPr>
        <w:rFonts w:eastAsia="MS Mincho" w:hint="default"/>
        <w:color w:val="auto"/>
      </w:rPr>
    </w:lvl>
    <w:lvl w:ilvl="8">
      <w:start w:val="1"/>
      <w:numFmt w:val="decimal"/>
      <w:lvlText w:val="%1.%2.%3.%4.%5.%6.%7.%8.%9"/>
      <w:lvlJc w:val="left"/>
      <w:pPr>
        <w:ind w:left="1440" w:hanging="1440"/>
      </w:pPr>
      <w:rPr>
        <w:rFonts w:eastAsia="MS Mincho" w:hint="default"/>
        <w:color w:val="auto"/>
      </w:rPr>
    </w:lvl>
  </w:abstractNum>
  <w:abstractNum w:abstractNumId="6">
    <w:nsid w:val="0B660972"/>
    <w:multiLevelType w:val="multilevel"/>
    <w:tmpl w:val="1DD49754"/>
    <w:lvl w:ilvl="0">
      <w:start w:val="3"/>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bullet"/>
      <w:lvlText w:val=""/>
      <w:lvlJc w:val="left"/>
      <w:pPr>
        <w:ind w:left="2520" w:hanging="360"/>
      </w:pPr>
      <w:rPr>
        <w:rFonts w:ascii="Symbol" w:eastAsia="MS Mincho" w:hAnsi="Symbol" w:cs="Times New Roman"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11B3245F"/>
    <w:multiLevelType w:val="hybridMultilevel"/>
    <w:tmpl w:val="17E04046"/>
    <w:lvl w:ilvl="0" w:tplc="AE50A404">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6463844"/>
    <w:multiLevelType w:val="hybridMultilevel"/>
    <w:tmpl w:val="74CE65D8"/>
    <w:lvl w:ilvl="0" w:tplc="2E748B1E">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212A776F"/>
    <w:multiLevelType w:val="hybridMultilevel"/>
    <w:tmpl w:val="7EAAB67E"/>
    <w:lvl w:ilvl="0" w:tplc="7578DAD0">
      <w:start w:val="1"/>
      <w:numFmt w:val="bullet"/>
      <w:lvlText w:val="•"/>
      <w:lvlJc w:val="left"/>
      <w:pPr>
        <w:tabs>
          <w:tab w:val="num" w:pos="720"/>
        </w:tabs>
        <w:ind w:left="720" w:hanging="360"/>
      </w:pPr>
      <w:rPr>
        <w:rFonts w:ascii="Arial" w:hAnsi="Arial" w:hint="default"/>
      </w:rPr>
    </w:lvl>
    <w:lvl w:ilvl="1" w:tplc="F2487062">
      <w:start w:val="2243"/>
      <w:numFmt w:val="bullet"/>
      <w:lvlText w:val="–"/>
      <w:lvlJc w:val="left"/>
      <w:pPr>
        <w:tabs>
          <w:tab w:val="num" w:pos="1440"/>
        </w:tabs>
        <w:ind w:left="1440" w:hanging="360"/>
      </w:pPr>
      <w:rPr>
        <w:rFonts w:ascii="Arial" w:hAnsi="Arial" w:hint="default"/>
      </w:rPr>
    </w:lvl>
    <w:lvl w:ilvl="2" w:tplc="DDEAE492">
      <w:start w:val="2243"/>
      <w:numFmt w:val="bullet"/>
      <w:lvlText w:val="•"/>
      <w:lvlJc w:val="left"/>
      <w:pPr>
        <w:tabs>
          <w:tab w:val="num" w:pos="2160"/>
        </w:tabs>
        <w:ind w:left="2160" w:hanging="360"/>
      </w:pPr>
      <w:rPr>
        <w:rFonts w:ascii="Arial" w:hAnsi="Arial" w:hint="default"/>
      </w:rPr>
    </w:lvl>
    <w:lvl w:ilvl="3" w:tplc="7826BFA6" w:tentative="1">
      <w:start w:val="1"/>
      <w:numFmt w:val="bullet"/>
      <w:lvlText w:val="•"/>
      <w:lvlJc w:val="left"/>
      <w:pPr>
        <w:tabs>
          <w:tab w:val="num" w:pos="2880"/>
        </w:tabs>
        <w:ind w:left="2880" w:hanging="360"/>
      </w:pPr>
      <w:rPr>
        <w:rFonts w:ascii="Arial" w:hAnsi="Arial" w:hint="default"/>
      </w:rPr>
    </w:lvl>
    <w:lvl w:ilvl="4" w:tplc="FB06D574" w:tentative="1">
      <w:start w:val="1"/>
      <w:numFmt w:val="bullet"/>
      <w:lvlText w:val="•"/>
      <w:lvlJc w:val="left"/>
      <w:pPr>
        <w:tabs>
          <w:tab w:val="num" w:pos="3600"/>
        </w:tabs>
        <w:ind w:left="3600" w:hanging="360"/>
      </w:pPr>
      <w:rPr>
        <w:rFonts w:ascii="Arial" w:hAnsi="Arial" w:hint="default"/>
      </w:rPr>
    </w:lvl>
    <w:lvl w:ilvl="5" w:tplc="77267592" w:tentative="1">
      <w:start w:val="1"/>
      <w:numFmt w:val="bullet"/>
      <w:lvlText w:val="•"/>
      <w:lvlJc w:val="left"/>
      <w:pPr>
        <w:tabs>
          <w:tab w:val="num" w:pos="4320"/>
        </w:tabs>
        <w:ind w:left="4320" w:hanging="360"/>
      </w:pPr>
      <w:rPr>
        <w:rFonts w:ascii="Arial" w:hAnsi="Arial" w:hint="default"/>
      </w:rPr>
    </w:lvl>
    <w:lvl w:ilvl="6" w:tplc="00AE8CCC" w:tentative="1">
      <w:start w:val="1"/>
      <w:numFmt w:val="bullet"/>
      <w:lvlText w:val="•"/>
      <w:lvlJc w:val="left"/>
      <w:pPr>
        <w:tabs>
          <w:tab w:val="num" w:pos="5040"/>
        </w:tabs>
        <w:ind w:left="5040" w:hanging="360"/>
      </w:pPr>
      <w:rPr>
        <w:rFonts w:ascii="Arial" w:hAnsi="Arial" w:hint="default"/>
      </w:rPr>
    </w:lvl>
    <w:lvl w:ilvl="7" w:tplc="F4DC5A46" w:tentative="1">
      <w:start w:val="1"/>
      <w:numFmt w:val="bullet"/>
      <w:lvlText w:val="•"/>
      <w:lvlJc w:val="left"/>
      <w:pPr>
        <w:tabs>
          <w:tab w:val="num" w:pos="5760"/>
        </w:tabs>
        <w:ind w:left="5760" w:hanging="360"/>
      </w:pPr>
      <w:rPr>
        <w:rFonts w:ascii="Arial" w:hAnsi="Arial" w:hint="default"/>
      </w:rPr>
    </w:lvl>
    <w:lvl w:ilvl="8" w:tplc="848C92CC" w:tentative="1">
      <w:start w:val="1"/>
      <w:numFmt w:val="bullet"/>
      <w:lvlText w:val="•"/>
      <w:lvlJc w:val="left"/>
      <w:pPr>
        <w:tabs>
          <w:tab w:val="num" w:pos="6480"/>
        </w:tabs>
        <w:ind w:left="6480" w:hanging="360"/>
      </w:pPr>
      <w:rPr>
        <w:rFonts w:ascii="Arial" w:hAnsi="Arial" w:hint="default"/>
      </w:rPr>
    </w:lvl>
  </w:abstractNum>
  <w:abstractNum w:abstractNumId="11">
    <w:nsid w:val="21417D90"/>
    <w:multiLevelType w:val="hybridMultilevel"/>
    <w:tmpl w:val="468AA91C"/>
    <w:lvl w:ilvl="0" w:tplc="549091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227764C5"/>
    <w:multiLevelType w:val="hybridMultilevel"/>
    <w:tmpl w:val="505E9174"/>
    <w:lvl w:ilvl="0" w:tplc="08090003">
      <w:start w:val="1"/>
      <w:numFmt w:val="bullet"/>
      <w:lvlText w:val="o"/>
      <w:lvlJc w:val="left"/>
      <w:pPr>
        <w:tabs>
          <w:tab w:val="num" w:pos="720"/>
        </w:tabs>
        <w:ind w:left="720" w:hanging="360"/>
      </w:pPr>
      <w:rPr>
        <w:rFonts w:ascii="Courier New" w:hAnsi="Courier New" w:cs="Courier New"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nsid w:val="28101E55"/>
    <w:multiLevelType w:val="hybridMultilevel"/>
    <w:tmpl w:val="C96CB11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90268EB"/>
    <w:multiLevelType w:val="hybridMultilevel"/>
    <w:tmpl w:val="773CC8F6"/>
    <w:lvl w:ilvl="0" w:tplc="298EBB4C">
      <w:start w:val="1"/>
      <w:numFmt w:val="bullet"/>
      <w:lvlText w:val="•"/>
      <w:lvlJc w:val="left"/>
      <w:pPr>
        <w:ind w:left="990" w:hanging="400"/>
      </w:pPr>
      <w:rPr>
        <w:rFonts w:ascii="Arial" w:hAnsi="Arial" w:hint="default"/>
      </w:rPr>
    </w:lvl>
    <w:lvl w:ilvl="1" w:tplc="04090003" w:tentative="1">
      <w:start w:val="1"/>
      <w:numFmt w:val="bullet"/>
      <w:lvlText w:val=""/>
      <w:lvlJc w:val="left"/>
      <w:pPr>
        <w:ind w:left="1390" w:hanging="400"/>
      </w:pPr>
      <w:rPr>
        <w:rFonts w:ascii="Wingdings" w:hAnsi="Wingdings" w:hint="default"/>
      </w:rPr>
    </w:lvl>
    <w:lvl w:ilvl="2" w:tplc="04090005" w:tentative="1">
      <w:start w:val="1"/>
      <w:numFmt w:val="bullet"/>
      <w:lvlText w:val=""/>
      <w:lvlJc w:val="left"/>
      <w:pPr>
        <w:ind w:left="1790" w:hanging="400"/>
      </w:pPr>
      <w:rPr>
        <w:rFonts w:ascii="Wingdings" w:hAnsi="Wingdings" w:hint="default"/>
      </w:rPr>
    </w:lvl>
    <w:lvl w:ilvl="3" w:tplc="04090001" w:tentative="1">
      <w:start w:val="1"/>
      <w:numFmt w:val="bullet"/>
      <w:lvlText w:val=""/>
      <w:lvlJc w:val="left"/>
      <w:pPr>
        <w:ind w:left="2190" w:hanging="400"/>
      </w:pPr>
      <w:rPr>
        <w:rFonts w:ascii="Wingdings" w:hAnsi="Wingdings" w:hint="default"/>
      </w:rPr>
    </w:lvl>
    <w:lvl w:ilvl="4" w:tplc="04090003" w:tentative="1">
      <w:start w:val="1"/>
      <w:numFmt w:val="bullet"/>
      <w:lvlText w:val=""/>
      <w:lvlJc w:val="left"/>
      <w:pPr>
        <w:ind w:left="2590" w:hanging="400"/>
      </w:pPr>
      <w:rPr>
        <w:rFonts w:ascii="Wingdings" w:hAnsi="Wingdings" w:hint="default"/>
      </w:rPr>
    </w:lvl>
    <w:lvl w:ilvl="5" w:tplc="04090005" w:tentative="1">
      <w:start w:val="1"/>
      <w:numFmt w:val="bullet"/>
      <w:lvlText w:val=""/>
      <w:lvlJc w:val="left"/>
      <w:pPr>
        <w:ind w:left="2990" w:hanging="400"/>
      </w:pPr>
      <w:rPr>
        <w:rFonts w:ascii="Wingdings" w:hAnsi="Wingdings" w:hint="default"/>
      </w:rPr>
    </w:lvl>
    <w:lvl w:ilvl="6" w:tplc="04090001" w:tentative="1">
      <w:start w:val="1"/>
      <w:numFmt w:val="bullet"/>
      <w:lvlText w:val=""/>
      <w:lvlJc w:val="left"/>
      <w:pPr>
        <w:ind w:left="3390" w:hanging="400"/>
      </w:pPr>
      <w:rPr>
        <w:rFonts w:ascii="Wingdings" w:hAnsi="Wingdings" w:hint="default"/>
      </w:rPr>
    </w:lvl>
    <w:lvl w:ilvl="7" w:tplc="04090003" w:tentative="1">
      <w:start w:val="1"/>
      <w:numFmt w:val="bullet"/>
      <w:lvlText w:val=""/>
      <w:lvlJc w:val="left"/>
      <w:pPr>
        <w:ind w:left="3790" w:hanging="400"/>
      </w:pPr>
      <w:rPr>
        <w:rFonts w:ascii="Wingdings" w:hAnsi="Wingdings" w:hint="default"/>
      </w:rPr>
    </w:lvl>
    <w:lvl w:ilvl="8" w:tplc="04090005" w:tentative="1">
      <w:start w:val="1"/>
      <w:numFmt w:val="bullet"/>
      <w:lvlText w:val=""/>
      <w:lvlJc w:val="left"/>
      <w:pPr>
        <w:ind w:left="4190" w:hanging="400"/>
      </w:pPr>
      <w:rPr>
        <w:rFonts w:ascii="Wingdings" w:hAnsi="Wingdings" w:hint="default"/>
      </w:rPr>
    </w:lvl>
  </w:abstractNum>
  <w:abstractNum w:abstractNumId="15">
    <w:nsid w:val="30E61945"/>
    <w:multiLevelType w:val="hybridMultilevel"/>
    <w:tmpl w:val="0FB4E1B6"/>
    <w:lvl w:ilvl="0" w:tplc="E2E0550A">
      <w:numFmt w:val="bullet"/>
      <w:lvlText w:val="-"/>
      <w:lvlJc w:val="left"/>
      <w:pPr>
        <w:tabs>
          <w:tab w:val="num" w:pos="720"/>
        </w:tabs>
        <w:ind w:left="720" w:hanging="360"/>
      </w:pPr>
      <w:rPr>
        <w:rFonts w:ascii="Times" w:eastAsia="바탕"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32AF1049"/>
    <w:multiLevelType w:val="hybridMultilevel"/>
    <w:tmpl w:val="F51495DA"/>
    <w:lvl w:ilvl="0" w:tplc="3416831E">
      <w:start w:val="1"/>
      <w:numFmt w:val="bullet"/>
      <w:lvlText w:val="•"/>
      <w:lvlJc w:val="left"/>
      <w:pPr>
        <w:tabs>
          <w:tab w:val="num" w:pos="720"/>
        </w:tabs>
        <w:ind w:left="720" w:hanging="360"/>
      </w:pPr>
      <w:rPr>
        <w:rFonts w:ascii="Arial" w:hAnsi="Arial" w:hint="default"/>
      </w:rPr>
    </w:lvl>
    <w:lvl w:ilvl="1" w:tplc="8110E9CC">
      <w:start w:val="4329"/>
      <w:numFmt w:val="bullet"/>
      <w:lvlText w:val="–"/>
      <w:lvlJc w:val="left"/>
      <w:pPr>
        <w:tabs>
          <w:tab w:val="num" w:pos="1440"/>
        </w:tabs>
        <w:ind w:left="1440" w:hanging="360"/>
      </w:pPr>
      <w:rPr>
        <w:rFonts w:ascii="Arial" w:hAnsi="Arial" w:hint="default"/>
      </w:rPr>
    </w:lvl>
    <w:lvl w:ilvl="2" w:tplc="D5CA3AC4">
      <w:start w:val="4329"/>
      <w:numFmt w:val="bullet"/>
      <w:lvlText w:val="•"/>
      <w:lvlJc w:val="left"/>
      <w:pPr>
        <w:tabs>
          <w:tab w:val="num" w:pos="2160"/>
        </w:tabs>
        <w:ind w:left="2160" w:hanging="360"/>
      </w:pPr>
      <w:rPr>
        <w:rFonts w:ascii="Arial" w:hAnsi="Arial" w:hint="default"/>
      </w:rPr>
    </w:lvl>
    <w:lvl w:ilvl="3" w:tplc="BFC4584E" w:tentative="1">
      <w:start w:val="1"/>
      <w:numFmt w:val="bullet"/>
      <w:lvlText w:val="•"/>
      <w:lvlJc w:val="left"/>
      <w:pPr>
        <w:tabs>
          <w:tab w:val="num" w:pos="2880"/>
        </w:tabs>
        <w:ind w:left="2880" w:hanging="360"/>
      </w:pPr>
      <w:rPr>
        <w:rFonts w:ascii="Arial" w:hAnsi="Arial" w:hint="default"/>
      </w:rPr>
    </w:lvl>
    <w:lvl w:ilvl="4" w:tplc="FA32FFB2" w:tentative="1">
      <w:start w:val="1"/>
      <w:numFmt w:val="bullet"/>
      <w:lvlText w:val="•"/>
      <w:lvlJc w:val="left"/>
      <w:pPr>
        <w:tabs>
          <w:tab w:val="num" w:pos="3600"/>
        </w:tabs>
        <w:ind w:left="3600" w:hanging="360"/>
      </w:pPr>
      <w:rPr>
        <w:rFonts w:ascii="Arial" w:hAnsi="Arial" w:hint="default"/>
      </w:rPr>
    </w:lvl>
    <w:lvl w:ilvl="5" w:tplc="DF80F386" w:tentative="1">
      <w:start w:val="1"/>
      <w:numFmt w:val="bullet"/>
      <w:lvlText w:val="•"/>
      <w:lvlJc w:val="left"/>
      <w:pPr>
        <w:tabs>
          <w:tab w:val="num" w:pos="4320"/>
        </w:tabs>
        <w:ind w:left="4320" w:hanging="360"/>
      </w:pPr>
      <w:rPr>
        <w:rFonts w:ascii="Arial" w:hAnsi="Arial" w:hint="default"/>
      </w:rPr>
    </w:lvl>
    <w:lvl w:ilvl="6" w:tplc="EC8E8604" w:tentative="1">
      <w:start w:val="1"/>
      <w:numFmt w:val="bullet"/>
      <w:lvlText w:val="•"/>
      <w:lvlJc w:val="left"/>
      <w:pPr>
        <w:tabs>
          <w:tab w:val="num" w:pos="5040"/>
        </w:tabs>
        <w:ind w:left="5040" w:hanging="360"/>
      </w:pPr>
      <w:rPr>
        <w:rFonts w:ascii="Arial" w:hAnsi="Arial" w:hint="default"/>
      </w:rPr>
    </w:lvl>
    <w:lvl w:ilvl="7" w:tplc="CE9A5E9E" w:tentative="1">
      <w:start w:val="1"/>
      <w:numFmt w:val="bullet"/>
      <w:lvlText w:val="•"/>
      <w:lvlJc w:val="left"/>
      <w:pPr>
        <w:tabs>
          <w:tab w:val="num" w:pos="5760"/>
        </w:tabs>
        <w:ind w:left="5760" w:hanging="360"/>
      </w:pPr>
      <w:rPr>
        <w:rFonts w:ascii="Arial" w:hAnsi="Arial" w:hint="default"/>
      </w:rPr>
    </w:lvl>
    <w:lvl w:ilvl="8" w:tplc="67D8556A" w:tentative="1">
      <w:start w:val="1"/>
      <w:numFmt w:val="bullet"/>
      <w:lvlText w:val="•"/>
      <w:lvlJc w:val="left"/>
      <w:pPr>
        <w:tabs>
          <w:tab w:val="num" w:pos="6480"/>
        </w:tabs>
        <w:ind w:left="6480" w:hanging="360"/>
      </w:pPr>
      <w:rPr>
        <w:rFonts w:ascii="Arial" w:hAnsi="Arial" w:hint="default"/>
      </w:rPr>
    </w:lvl>
  </w:abstractNum>
  <w:abstractNum w:abstractNumId="17">
    <w:nsid w:val="350D62F3"/>
    <w:multiLevelType w:val="multilevel"/>
    <w:tmpl w:val="35DEFC4A"/>
    <w:lvl w:ilvl="0">
      <w:start w:val="5"/>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bullet"/>
      <w:lvlText w:val=""/>
      <w:lvlJc w:val="left"/>
      <w:pPr>
        <w:ind w:left="2520" w:hanging="360"/>
      </w:pPr>
      <w:rPr>
        <w:rFonts w:ascii="Symbol" w:eastAsia="MS Mincho" w:hAnsi="Symbol" w:cs="Times New Roman"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36620167"/>
    <w:multiLevelType w:val="hybridMultilevel"/>
    <w:tmpl w:val="EB5A939E"/>
    <w:lvl w:ilvl="0" w:tplc="53A66232">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B0D12CE"/>
    <w:multiLevelType w:val="hybridMultilevel"/>
    <w:tmpl w:val="2C6A4DF2"/>
    <w:lvl w:ilvl="0" w:tplc="84FEA61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C536A6B"/>
    <w:multiLevelType w:val="hybridMultilevel"/>
    <w:tmpl w:val="6A64E28E"/>
    <w:lvl w:ilvl="0" w:tplc="6E588C22">
      <w:start w:val="1"/>
      <w:numFmt w:val="low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1">
    <w:nsid w:val="42600CAB"/>
    <w:multiLevelType w:val="hybridMultilevel"/>
    <w:tmpl w:val="2BA6FEB0"/>
    <w:lvl w:ilvl="0" w:tplc="08090003">
      <w:start w:val="1"/>
      <w:numFmt w:val="bullet"/>
      <w:lvlText w:val="o"/>
      <w:lvlJc w:val="left"/>
      <w:pPr>
        <w:ind w:left="760" w:hanging="360"/>
      </w:pPr>
      <w:rPr>
        <w:rFonts w:ascii="Courier New" w:hAnsi="Courier New" w:cs="Courier New" w:hint="default"/>
      </w:rPr>
    </w:lvl>
    <w:lvl w:ilvl="1" w:tplc="0409000F">
      <w:start w:val="1"/>
      <w:numFmt w:val="decimal"/>
      <w:lvlText w:val="%2."/>
      <w:lvlJc w:val="left"/>
      <w:pPr>
        <w:ind w:left="1200" w:hanging="40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5202739"/>
    <w:multiLevelType w:val="hybridMultilevel"/>
    <w:tmpl w:val="FF62DA1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7C16E4E"/>
    <w:multiLevelType w:val="hybridMultilevel"/>
    <w:tmpl w:val="10ACDDE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484306D8"/>
    <w:multiLevelType w:val="hybridMultilevel"/>
    <w:tmpl w:val="5BAC393C"/>
    <w:lvl w:ilvl="0" w:tplc="3F4235FC">
      <w:numFmt w:val="bullet"/>
      <w:lvlText w:val="-"/>
      <w:lvlJc w:val="left"/>
      <w:pPr>
        <w:ind w:left="720" w:hanging="360"/>
      </w:pPr>
      <w:rPr>
        <w:rFonts w:ascii="Times" w:eastAsia="바탕"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8657BA3"/>
    <w:multiLevelType w:val="hybridMultilevel"/>
    <w:tmpl w:val="F7D0A858"/>
    <w:lvl w:ilvl="0" w:tplc="D9F88AC6">
      <w:start w:val="1"/>
      <w:numFmt w:val="bullet"/>
      <w:lvlText w:val="•"/>
      <w:lvlJc w:val="left"/>
      <w:pPr>
        <w:tabs>
          <w:tab w:val="num" w:pos="720"/>
        </w:tabs>
        <w:ind w:left="720" w:hanging="360"/>
      </w:pPr>
      <w:rPr>
        <w:rFonts w:ascii="Arial" w:hAnsi="Arial" w:hint="default"/>
      </w:rPr>
    </w:lvl>
    <w:lvl w:ilvl="1" w:tplc="7486A10A">
      <w:start w:val="1290"/>
      <w:numFmt w:val="bullet"/>
      <w:lvlText w:val="–"/>
      <w:lvlJc w:val="left"/>
      <w:pPr>
        <w:tabs>
          <w:tab w:val="num" w:pos="1440"/>
        </w:tabs>
        <w:ind w:left="1440" w:hanging="360"/>
      </w:pPr>
      <w:rPr>
        <w:rFonts w:ascii="Arial" w:hAnsi="Arial" w:hint="default"/>
      </w:rPr>
    </w:lvl>
    <w:lvl w:ilvl="2" w:tplc="75E8E6B0">
      <w:start w:val="1290"/>
      <w:numFmt w:val="bullet"/>
      <w:lvlText w:val="•"/>
      <w:lvlJc w:val="left"/>
      <w:pPr>
        <w:tabs>
          <w:tab w:val="num" w:pos="2160"/>
        </w:tabs>
        <w:ind w:left="2160" w:hanging="360"/>
      </w:pPr>
      <w:rPr>
        <w:rFonts w:ascii="Arial" w:hAnsi="Arial" w:hint="default"/>
      </w:rPr>
    </w:lvl>
    <w:lvl w:ilvl="3" w:tplc="B148AE48" w:tentative="1">
      <w:start w:val="1"/>
      <w:numFmt w:val="bullet"/>
      <w:lvlText w:val="•"/>
      <w:lvlJc w:val="left"/>
      <w:pPr>
        <w:tabs>
          <w:tab w:val="num" w:pos="2880"/>
        </w:tabs>
        <w:ind w:left="2880" w:hanging="360"/>
      </w:pPr>
      <w:rPr>
        <w:rFonts w:ascii="Arial" w:hAnsi="Arial" w:hint="default"/>
      </w:rPr>
    </w:lvl>
    <w:lvl w:ilvl="4" w:tplc="B5B0D292" w:tentative="1">
      <w:start w:val="1"/>
      <w:numFmt w:val="bullet"/>
      <w:lvlText w:val="•"/>
      <w:lvlJc w:val="left"/>
      <w:pPr>
        <w:tabs>
          <w:tab w:val="num" w:pos="3600"/>
        </w:tabs>
        <w:ind w:left="3600" w:hanging="360"/>
      </w:pPr>
      <w:rPr>
        <w:rFonts w:ascii="Arial" w:hAnsi="Arial" w:hint="default"/>
      </w:rPr>
    </w:lvl>
    <w:lvl w:ilvl="5" w:tplc="E75649DA" w:tentative="1">
      <w:start w:val="1"/>
      <w:numFmt w:val="bullet"/>
      <w:lvlText w:val="•"/>
      <w:lvlJc w:val="left"/>
      <w:pPr>
        <w:tabs>
          <w:tab w:val="num" w:pos="4320"/>
        </w:tabs>
        <w:ind w:left="4320" w:hanging="360"/>
      </w:pPr>
      <w:rPr>
        <w:rFonts w:ascii="Arial" w:hAnsi="Arial" w:hint="default"/>
      </w:rPr>
    </w:lvl>
    <w:lvl w:ilvl="6" w:tplc="B336B0F8" w:tentative="1">
      <w:start w:val="1"/>
      <w:numFmt w:val="bullet"/>
      <w:lvlText w:val="•"/>
      <w:lvlJc w:val="left"/>
      <w:pPr>
        <w:tabs>
          <w:tab w:val="num" w:pos="5040"/>
        </w:tabs>
        <w:ind w:left="5040" w:hanging="360"/>
      </w:pPr>
      <w:rPr>
        <w:rFonts w:ascii="Arial" w:hAnsi="Arial" w:hint="default"/>
      </w:rPr>
    </w:lvl>
    <w:lvl w:ilvl="7" w:tplc="A5A2A87E" w:tentative="1">
      <w:start w:val="1"/>
      <w:numFmt w:val="bullet"/>
      <w:lvlText w:val="•"/>
      <w:lvlJc w:val="left"/>
      <w:pPr>
        <w:tabs>
          <w:tab w:val="num" w:pos="5760"/>
        </w:tabs>
        <w:ind w:left="5760" w:hanging="360"/>
      </w:pPr>
      <w:rPr>
        <w:rFonts w:ascii="Arial" w:hAnsi="Arial" w:hint="default"/>
      </w:rPr>
    </w:lvl>
    <w:lvl w:ilvl="8" w:tplc="97A2C430" w:tentative="1">
      <w:start w:val="1"/>
      <w:numFmt w:val="bullet"/>
      <w:lvlText w:val="•"/>
      <w:lvlJc w:val="left"/>
      <w:pPr>
        <w:tabs>
          <w:tab w:val="num" w:pos="6480"/>
        </w:tabs>
        <w:ind w:left="6480" w:hanging="360"/>
      </w:pPr>
      <w:rPr>
        <w:rFonts w:ascii="Arial" w:hAnsi="Arial" w:hint="default"/>
      </w:rPr>
    </w:lvl>
  </w:abstractNum>
  <w:abstractNum w:abstractNumId="26">
    <w:nsid w:val="4A2E06E1"/>
    <w:multiLevelType w:val="hybridMultilevel"/>
    <w:tmpl w:val="04C68290"/>
    <w:lvl w:ilvl="0" w:tplc="298EBB4C">
      <w:start w:val="1"/>
      <w:numFmt w:val="bullet"/>
      <w:lvlText w:val="•"/>
      <w:lvlJc w:val="left"/>
      <w:pPr>
        <w:ind w:left="760" w:hanging="360"/>
      </w:pPr>
      <w:rPr>
        <w:rFonts w:ascii="Arial" w:hAnsi="Arial" w:hint="default"/>
      </w:rPr>
    </w:lvl>
    <w:lvl w:ilvl="1" w:tplc="74BCAC34">
      <w:start w:val="7"/>
      <w:numFmt w:val="bullet"/>
      <w:lvlText w:val="・"/>
      <w:lvlJc w:val="left"/>
      <w:pPr>
        <w:ind w:left="1200" w:hanging="400"/>
      </w:pPr>
      <w:rPr>
        <w:rFonts w:ascii="MS PGothic" w:eastAsia="MS PGothic" w:hAnsi="MS PGothic" w:cs="Arial"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4F035FA4"/>
    <w:multiLevelType w:val="hybridMultilevel"/>
    <w:tmpl w:val="D2AE12A6"/>
    <w:lvl w:ilvl="0" w:tplc="D1FC6412">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51A73CE6"/>
    <w:multiLevelType w:val="hybridMultilevel"/>
    <w:tmpl w:val="80F2483E"/>
    <w:lvl w:ilvl="0" w:tplc="02A8569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556086B"/>
    <w:multiLevelType w:val="hybridMultilevel"/>
    <w:tmpl w:val="3A5C45E4"/>
    <w:lvl w:ilvl="0" w:tplc="433CE72E">
      <w:start w:val="1"/>
      <w:numFmt w:val="bullet"/>
      <w:lvlText w:val="–"/>
      <w:lvlJc w:val="left"/>
      <w:pPr>
        <w:tabs>
          <w:tab w:val="num" w:pos="720"/>
        </w:tabs>
        <w:ind w:left="720" w:hanging="360"/>
      </w:pPr>
      <w:rPr>
        <w:rFonts w:ascii="Times New Roman" w:hAnsi="Times New Roman" w:hint="default"/>
      </w:rPr>
    </w:lvl>
    <w:lvl w:ilvl="1" w:tplc="5D945794">
      <w:start w:val="1"/>
      <w:numFmt w:val="bullet"/>
      <w:lvlText w:val="–"/>
      <w:lvlJc w:val="left"/>
      <w:pPr>
        <w:tabs>
          <w:tab w:val="num" w:pos="1440"/>
        </w:tabs>
        <w:ind w:left="1440" w:hanging="360"/>
      </w:pPr>
      <w:rPr>
        <w:rFonts w:ascii="Times New Roman" w:hAnsi="Times New Roman" w:hint="default"/>
      </w:rPr>
    </w:lvl>
    <w:lvl w:ilvl="2" w:tplc="64326D4C" w:tentative="1">
      <w:start w:val="1"/>
      <w:numFmt w:val="bullet"/>
      <w:lvlText w:val="–"/>
      <w:lvlJc w:val="left"/>
      <w:pPr>
        <w:tabs>
          <w:tab w:val="num" w:pos="2160"/>
        </w:tabs>
        <w:ind w:left="2160" w:hanging="360"/>
      </w:pPr>
      <w:rPr>
        <w:rFonts w:ascii="Times New Roman" w:hAnsi="Times New Roman" w:hint="default"/>
      </w:rPr>
    </w:lvl>
    <w:lvl w:ilvl="3" w:tplc="70866640" w:tentative="1">
      <w:start w:val="1"/>
      <w:numFmt w:val="bullet"/>
      <w:lvlText w:val="–"/>
      <w:lvlJc w:val="left"/>
      <w:pPr>
        <w:tabs>
          <w:tab w:val="num" w:pos="2880"/>
        </w:tabs>
        <w:ind w:left="2880" w:hanging="360"/>
      </w:pPr>
      <w:rPr>
        <w:rFonts w:ascii="Times New Roman" w:hAnsi="Times New Roman" w:hint="default"/>
      </w:rPr>
    </w:lvl>
    <w:lvl w:ilvl="4" w:tplc="015A3394" w:tentative="1">
      <w:start w:val="1"/>
      <w:numFmt w:val="bullet"/>
      <w:lvlText w:val="–"/>
      <w:lvlJc w:val="left"/>
      <w:pPr>
        <w:tabs>
          <w:tab w:val="num" w:pos="3600"/>
        </w:tabs>
        <w:ind w:left="3600" w:hanging="360"/>
      </w:pPr>
      <w:rPr>
        <w:rFonts w:ascii="Times New Roman" w:hAnsi="Times New Roman" w:hint="default"/>
      </w:rPr>
    </w:lvl>
    <w:lvl w:ilvl="5" w:tplc="1FEE5268" w:tentative="1">
      <w:start w:val="1"/>
      <w:numFmt w:val="bullet"/>
      <w:lvlText w:val="–"/>
      <w:lvlJc w:val="left"/>
      <w:pPr>
        <w:tabs>
          <w:tab w:val="num" w:pos="4320"/>
        </w:tabs>
        <w:ind w:left="4320" w:hanging="360"/>
      </w:pPr>
      <w:rPr>
        <w:rFonts w:ascii="Times New Roman" w:hAnsi="Times New Roman" w:hint="default"/>
      </w:rPr>
    </w:lvl>
    <w:lvl w:ilvl="6" w:tplc="BDAE3C20" w:tentative="1">
      <w:start w:val="1"/>
      <w:numFmt w:val="bullet"/>
      <w:lvlText w:val="–"/>
      <w:lvlJc w:val="left"/>
      <w:pPr>
        <w:tabs>
          <w:tab w:val="num" w:pos="5040"/>
        </w:tabs>
        <w:ind w:left="5040" w:hanging="360"/>
      </w:pPr>
      <w:rPr>
        <w:rFonts w:ascii="Times New Roman" w:hAnsi="Times New Roman" w:hint="default"/>
      </w:rPr>
    </w:lvl>
    <w:lvl w:ilvl="7" w:tplc="EDEC0C88" w:tentative="1">
      <w:start w:val="1"/>
      <w:numFmt w:val="bullet"/>
      <w:lvlText w:val="–"/>
      <w:lvlJc w:val="left"/>
      <w:pPr>
        <w:tabs>
          <w:tab w:val="num" w:pos="5760"/>
        </w:tabs>
        <w:ind w:left="5760" w:hanging="360"/>
      </w:pPr>
      <w:rPr>
        <w:rFonts w:ascii="Times New Roman" w:hAnsi="Times New Roman" w:hint="default"/>
      </w:rPr>
    </w:lvl>
    <w:lvl w:ilvl="8" w:tplc="40DEED16" w:tentative="1">
      <w:start w:val="1"/>
      <w:numFmt w:val="bullet"/>
      <w:lvlText w:val="–"/>
      <w:lvlJc w:val="left"/>
      <w:pPr>
        <w:tabs>
          <w:tab w:val="num" w:pos="6480"/>
        </w:tabs>
        <w:ind w:left="6480" w:hanging="360"/>
      </w:pPr>
      <w:rPr>
        <w:rFonts w:ascii="Times New Roman" w:hAnsi="Times New Roman" w:hint="default"/>
      </w:rPr>
    </w:lvl>
  </w:abstractNum>
  <w:abstractNum w:abstractNumId="30">
    <w:nsid w:val="5A361500"/>
    <w:multiLevelType w:val="hybridMultilevel"/>
    <w:tmpl w:val="BFE2C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AB46740"/>
    <w:multiLevelType w:val="hybridMultilevel"/>
    <w:tmpl w:val="4198B7D6"/>
    <w:lvl w:ilvl="0" w:tplc="A7DAF12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5DF71F30"/>
    <w:multiLevelType w:val="hybridMultilevel"/>
    <w:tmpl w:val="724641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E21502E"/>
    <w:multiLevelType w:val="hybridMultilevel"/>
    <w:tmpl w:val="0ADCDE76"/>
    <w:lvl w:ilvl="0" w:tplc="C9F2FDA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626C2504"/>
    <w:multiLevelType w:val="hybridMultilevel"/>
    <w:tmpl w:val="656A1D5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631318EF"/>
    <w:multiLevelType w:val="hybridMultilevel"/>
    <w:tmpl w:val="A15E1858"/>
    <w:lvl w:ilvl="0" w:tplc="04090001">
      <w:start w:val="1"/>
      <w:numFmt w:val="bullet"/>
      <w:lvlText w:val=""/>
      <w:lvlJc w:val="left"/>
      <w:pPr>
        <w:ind w:left="800" w:hanging="400"/>
      </w:pPr>
      <w:rPr>
        <w:rFonts w:ascii="Symbol" w:hAnsi="Symbol"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649037AB"/>
    <w:multiLevelType w:val="hybridMultilevel"/>
    <w:tmpl w:val="CAD01318"/>
    <w:lvl w:ilvl="0" w:tplc="298EBB4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64FC62E2"/>
    <w:multiLevelType w:val="multilevel"/>
    <w:tmpl w:val="FE2C94A4"/>
    <w:lvl w:ilvl="0">
      <w:start w:val="1"/>
      <w:numFmt w:val="decimal"/>
      <w:pStyle w:val="StyleGrasAvant18pt"/>
      <w:lvlText w:val="%1"/>
      <w:lvlJc w:val="left"/>
      <w:pPr>
        <w:tabs>
          <w:tab w:val="num" w:pos="792"/>
        </w:tabs>
        <w:ind w:left="792" w:hanging="792"/>
      </w:pPr>
      <w:rPr>
        <w:rFonts w:hint="default"/>
      </w:rPr>
    </w:lvl>
    <w:lvl w:ilvl="1">
      <w:start w:val="1"/>
      <w:numFmt w:val="decimal"/>
      <w:lvlText w:val="%1.%2"/>
      <w:lvlJc w:val="left"/>
      <w:pPr>
        <w:tabs>
          <w:tab w:val="num" w:pos="792"/>
        </w:tabs>
        <w:ind w:left="792" w:hanging="792"/>
      </w:pPr>
      <w:rPr>
        <w:rFonts w:hint="default"/>
      </w:rPr>
    </w:lvl>
    <w:lvl w:ilvl="2">
      <w:start w:val="4"/>
      <w:numFmt w:val="decimal"/>
      <w:lvlText w:val="%1.%2.%3"/>
      <w:lvlJc w:val="left"/>
      <w:pPr>
        <w:tabs>
          <w:tab w:val="num" w:pos="792"/>
        </w:tabs>
        <w:ind w:left="792" w:hanging="792"/>
      </w:pPr>
      <w:rPr>
        <w:rFonts w:hint="default"/>
      </w:rPr>
    </w:lvl>
    <w:lvl w:ilvl="3">
      <w:start w:val="2"/>
      <w:numFmt w:val="decimal"/>
      <w:lvlText w:val="%1.%2.%3.%4"/>
      <w:lvlJc w:val="left"/>
      <w:pPr>
        <w:tabs>
          <w:tab w:val="num" w:pos="792"/>
        </w:tabs>
        <w:ind w:left="792" w:hanging="79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98B4E2A"/>
    <w:multiLevelType w:val="hybridMultilevel"/>
    <w:tmpl w:val="D99025BE"/>
    <w:lvl w:ilvl="0" w:tplc="2E748B1E">
      <w:start w:val="1"/>
      <w:numFmt w:val="bullet"/>
      <w:lvlText w:val="•"/>
      <w:lvlJc w:val="left"/>
      <w:pPr>
        <w:ind w:left="800" w:hanging="400"/>
      </w:pPr>
      <w:rPr>
        <w:rFonts w:ascii="Arial" w:hAnsi="Arial" w:hint="default"/>
      </w:rPr>
    </w:lvl>
    <w:lvl w:ilvl="1" w:tplc="74BCAC34">
      <w:start w:val="7"/>
      <w:numFmt w:val="bullet"/>
      <w:lvlText w:val="・"/>
      <w:lvlJc w:val="left"/>
      <w:pPr>
        <w:ind w:left="1200" w:hanging="400"/>
      </w:pPr>
      <w:rPr>
        <w:rFonts w:ascii="MS PGothic" w:eastAsia="MS PGothic" w:hAnsi="MS PGothic" w:cs="Arial"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6E296718"/>
    <w:multiLevelType w:val="hybridMultilevel"/>
    <w:tmpl w:val="8C2276EA"/>
    <w:lvl w:ilvl="0" w:tplc="04090001">
      <w:start w:val="1"/>
      <w:numFmt w:val="bullet"/>
      <w:lvlText w:val=""/>
      <w:lvlJc w:val="left"/>
      <w:pPr>
        <w:ind w:left="760" w:hanging="360"/>
      </w:pPr>
      <w:rPr>
        <w:rFonts w:ascii="Wingdings" w:hAnsi="Wingdings" w:hint="default"/>
      </w:rPr>
    </w:lvl>
    <w:lvl w:ilvl="1" w:tplc="FFFFFFFF">
      <w:numFmt w:val="bullet"/>
      <w:lvlText w:val=""/>
      <w:lvlJc w:val="left"/>
      <w:pPr>
        <w:ind w:left="1200" w:hanging="400"/>
      </w:pPr>
      <w:rPr>
        <w:rFonts w:ascii="Symbol" w:eastAsia="MS Mincho" w:hAnsi="Symbol"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70CD397A"/>
    <w:multiLevelType w:val="hybridMultilevel"/>
    <w:tmpl w:val="6C30C9C4"/>
    <w:lvl w:ilvl="0" w:tplc="B8F6363A">
      <w:start w:val="2"/>
      <w:numFmt w:val="bullet"/>
      <w:lvlText w:val="-"/>
      <w:lvlJc w:val="left"/>
      <w:pPr>
        <w:ind w:left="760" w:hanging="360"/>
      </w:pPr>
      <w:rPr>
        <w:rFonts w:ascii="Times New Roman" w:eastAsia="맑은 고딕" w:hAnsi="Times New Roman" w:cs="Times New Roman" w:hint="default"/>
      </w:rPr>
    </w:lvl>
    <w:lvl w:ilvl="1" w:tplc="D554B4AA" w:tentative="1">
      <w:start w:val="1"/>
      <w:numFmt w:val="bullet"/>
      <w:lvlText w:val=""/>
      <w:lvlJc w:val="left"/>
      <w:pPr>
        <w:ind w:left="1200" w:hanging="400"/>
      </w:pPr>
      <w:rPr>
        <w:rFonts w:ascii="Wingdings" w:hAnsi="Wingdings" w:hint="default"/>
      </w:rPr>
    </w:lvl>
    <w:lvl w:ilvl="2" w:tplc="8600433C" w:tentative="1">
      <w:start w:val="1"/>
      <w:numFmt w:val="bullet"/>
      <w:lvlText w:val=""/>
      <w:lvlJc w:val="left"/>
      <w:pPr>
        <w:ind w:left="1600" w:hanging="400"/>
      </w:pPr>
      <w:rPr>
        <w:rFonts w:ascii="Wingdings" w:hAnsi="Wingdings" w:hint="default"/>
      </w:rPr>
    </w:lvl>
    <w:lvl w:ilvl="3" w:tplc="DBEA63AC" w:tentative="1">
      <w:start w:val="1"/>
      <w:numFmt w:val="bullet"/>
      <w:lvlText w:val=""/>
      <w:lvlJc w:val="left"/>
      <w:pPr>
        <w:ind w:left="2000" w:hanging="400"/>
      </w:pPr>
      <w:rPr>
        <w:rFonts w:ascii="Wingdings" w:hAnsi="Wingdings" w:hint="default"/>
      </w:rPr>
    </w:lvl>
    <w:lvl w:ilvl="4" w:tplc="3EE8D758" w:tentative="1">
      <w:start w:val="1"/>
      <w:numFmt w:val="bullet"/>
      <w:lvlText w:val=""/>
      <w:lvlJc w:val="left"/>
      <w:pPr>
        <w:ind w:left="2400" w:hanging="400"/>
      </w:pPr>
      <w:rPr>
        <w:rFonts w:ascii="Wingdings" w:hAnsi="Wingdings" w:hint="default"/>
      </w:rPr>
    </w:lvl>
    <w:lvl w:ilvl="5" w:tplc="D45C54DE" w:tentative="1">
      <w:start w:val="1"/>
      <w:numFmt w:val="bullet"/>
      <w:lvlText w:val=""/>
      <w:lvlJc w:val="left"/>
      <w:pPr>
        <w:ind w:left="2800" w:hanging="400"/>
      </w:pPr>
      <w:rPr>
        <w:rFonts w:ascii="Wingdings" w:hAnsi="Wingdings" w:hint="default"/>
      </w:rPr>
    </w:lvl>
    <w:lvl w:ilvl="6" w:tplc="210E87DC" w:tentative="1">
      <w:start w:val="1"/>
      <w:numFmt w:val="bullet"/>
      <w:lvlText w:val=""/>
      <w:lvlJc w:val="left"/>
      <w:pPr>
        <w:ind w:left="3200" w:hanging="400"/>
      </w:pPr>
      <w:rPr>
        <w:rFonts w:ascii="Wingdings" w:hAnsi="Wingdings" w:hint="default"/>
      </w:rPr>
    </w:lvl>
    <w:lvl w:ilvl="7" w:tplc="89924770" w:tentative="1">
      <w:start w:val="1"/>
      <w:numFmt w:val="bullet"/>
      <w:lvlText w:val=""/>
      <w:lvlJc w:val="left"/>
      <w:pPr>
        <w:ind w:left="3600" w:hanging="400"/>
      </w:pPr>
      <w:rPr>
        <w:rFonts w:ascii="Wingdings" w:hAnsi="Wingdings" w:hint="default"/>
      </w:rPr>
    </w:lvl>
    <w:lvl w:ilvl="8" w:tplc="F4EEEA06" w:tentative="1">
      <w:start w:val="1"/>
      <w:numFmt w:val="bullet"/>
      <w:lvlText w:val=""/>
      <w:lvlJc w:val="left"/>
      <w:pPr>
        <w:ind w:left="4000" w:hanging="400"/>
      </w:pPr>
      <w:rPr>
        <w:rFonts w:ascii="Wingdings" w:hAnsi="Wingdings" w:hint="default"/>
      </w:rPr>
    </w:lvl>
  </w:abstractNum>
  <w:abstractNum w:abstractNumId="41">
    <w:nsid w:val="71AD4A3A"/>
    <w:multiLevelType w:val="hybridMultilevel"/>
    <w:tmpl w:val="4198B7D6"/>
    <w:lvl w:ilvl="0" w:tplc="E6EA4CFA">
      <w:start w:val="1"/>
      <w:numFmt w:val="lowerLetter"/>
      <w:lvlText w:val="(%1)"/>
      <w:lvlJc w:val="left"/>
      <w:pPr>
        <w:ind w:left="760" w:hanging="360"/>
      </w:pPr>
      <w:rPr>
        <w:rFonts w:hint="default"/>
      </w:rPr>
    </w:lvl>
    <w:lvl w:ilvl="1" w:tplc="04090003" w:tentative="1">
      <w:start w:val="1"/>
      <w:numFmt w:val="upperLetter"/>
      <w:lvlText w:val="%2."/>
      <w:lvlJc w:val="left"/>
      <w:pPr>
        <w:ind w:left="1200" w:hanging="400"/>
      </w:pPr>
    </w:lvl>
    <w:lvl w:ilvl="2" w:tplc="04090005" w:tentative="1">
      <w:start w:val="1"/>
      <w:numFmt w:val="lowerRoman"/>
      <w:lvlText w:val="%3."/>
      <w:lvlJc w:val="right"/>
      <w:pPr>
        <w:ind w:left="1600" w:hanging="400"/>
      </w:pPr>
    </w:lvl>
    <w:lvl w:ilvl="3" w:tplc="04090001" w:tentative="1">
      <w:start w:val="1"/>
      <w:numFmt w:val="decimal"/>
      <w:lvlText w:val="%4."/>
      <w:lvlJc w:val="left"/>
      <w:pPr>
        <w:ind w:left="2000" w:hanging="400"/>
      </w:pPr>
    </w:lvl>
    <w:lvl w:ilvl="4" w:tplc="04090003" w:tentative="1">
      <w:start w:val="1"/>
      <w:numFmt w:val="upperLetter"/>
      <w:lvlText w:val="%5."/>
      <w:lvlJc w:val="left"/>
      <w:pPr>
        <w:ind w:left="2400" w:hanging="400"/>
      </w:pPr>
    </w:lvl>
    <w:lvl w:ilvl="5" w:tplc="04090005" w:tentative="1">
      <w:start w:val="1"/>
      <w:numFmt w:val="lowerRoman"/>
      <w:lvlText w:val="%6."/>
      <w:lvlJc w:val="right"/>
      <w:pPr>
        <w:ind w:left="2800" w:hanging="400"/>
      </w:pPr>
    </w:lvl>
    <w:lvl w:ilvl="6" w:tplc="04090001" w:tentative="1">
      <w:start w:val="1"/>
      <w:numFmt w:val="decimal"/>
      <w:lvlText w:val="%7."/>
      <w:lvlJc w:val="left"/>
      <w:pPr>
        <w:ind w:left="3200" w:hanging="400"/>
      </w:pPr>
    </w:lvl>
    <w:lvl w:ilvl="7" w:tplc="04090003" w:tentative="1">
      <w:start w:val="1"/>
      <w:numFmt w:val="upperLetter"/>
      <w:lvlText w:val="%8."/>
      <w:lvlJc w:val="left"/>
      <w:pPr>
        <w:ind w:left="3600" w:hanging="400"/>
      </w:pPr>
    </w:lvl>
    <w:lvl w:ilvl="8" w:tplc="04090005" w:tentative="1">
      <w:start w:val="1"/>
      <w:numFmt w:val="lowerRoman"/>
      <w:lvlText w:val="%9."/>
      <w:lvlJc w:val="right"/>
      <w:pPr>
        <w:ind w:left="4000" w:hanging="400"/>
      </w:pPr>
    </w:lvl>
  </w:abstractNum>
  <w:abstractNum w:abstractNumId="42">
    <w:nsid w:val="73D507CC"/>
    <w:multiLevelType w:val="hybridMultilevel"/>
    <w:tmpl w:val="F4364034"/>
    <w:lvl w:ilvl="0" w:tplc="A7DAF128">
      <w:start w:val="4"/>
      <w:numFmt w:val="bullet"/>
      <w:lvlText w:val="-"/>
      <w:lvlJc w:val="left"/>
      <w:pPr>
        <w:tabs>
          <w:tab w:val="num" w:pos="720"/>
        </w:tabs>
        <w:ind w:left="720" w:hanging="360"/>
      </w:pPr>
      <w:rPr>
        <w:rFonts w:ascii="Times" w:eastAsia="MS Mincho" w:hAnsi="Times" w:cs="Times"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nsid w:val="75E075F2"/>
    <w:multiLevelType w:val="hybridMultilevel"/>
    <w:tmpl w:val="3F9A50C6"/>
    <w:lvl w:ilvl="0" w:tplc="74BCAC34">
      <w:start w:val="1"/>
      <w:numFmt w:val="decimal"/>
      <w:lvlText w:val="%1)"/>
      <w:lvlJc w:val="left"/>
      <w:pPr>
        <w:ind w:left="760" w:hanging="360"/>
      </w:pPr>
      <w:rPr>
        <w:rFonts w:hint="default"/>
      </w:rPr>
    </w:lvl>
    <w:lvl w:ilvl="1" w:tplc="0409000B" w:tentative="1">
      <w:start w:val="1"/>
      <w:numFmt w:val="bullet"/>
      <w:lvlText w:val=""/>
      <w:lvlJc w:val="left"/>
      <w:pPr>
        <w:ind w:left="1200" w:hanging="400"/>
      </w:pPr>
      <w:rPr>
        <w:rFonts w:ascii="Wingdings" w:hAnsi="Wingdings" w:hint="default"/>
      </w:rPr>
    </w:lvl>
    <w:lvl w:ilvl="2" w:tplc="0409000D"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B" w:tentative="1">
      <w:start w:val="1"/>
      <w:numFmt w:val="bullet"/>
      <w:lvlText w:val=""/>
      <w:lvlJc w:val="left"/>
      <w:pPr>
        <w:ind w:left="2400" w:hanging="400"/>
      </w:pPr>
      <w:rPr>
        <w:rFonts w:ascii="Wingdings" w:hAnsi="Wingdings" w:hint="default"/>
      </w:rPr>
    </w:lvl>
    <w:lvl w:ilvl="5" w:tplc="0409000D"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B" w:tentative="1">
      <w:start w:val="1"/>
      <w:numFmt w:val="bullet"/>
      <w:lvlText w:val=""/>
      <w:lvlJc w:val="left"/>
      <w:pPr>
        <w:ind w:left="3600" w:hanging="400"/>
      </w:pPr>
      <w:rPr>
        <w:rFonts w:ascii="Wingdings" w:hAnsi="Wingdings" w:hint="default"/>
      </w:rPr>
    </w:lvl>
    <w:lvl w:ilvl="8" w:tplc="0409000D" w:tentative="1">
      <w:start w:val="1"/>
      <w:numFmt w:val="bullet"/>
      <w:lvlText w:val=""/>
      <w:lvlJc w:val="left"/>
      <w:pPr>
        <w:ind w:left="4000" w:hanging="400"/>
      </w:pPr>
      <w:rPr>
        <w:rFonts w:ascii="Wingdings" w:hAnsi="Wingdings" w:hint="default"/>
      </w:rPr>
    </w:lvl>
  </w:abstractNum>
  <w:abstractNum w:abstractNumId="44">
    <w:nsid w:val="7D033227"/>
    <w:multiLevelType w:val="hybridMultilevel"/>
    <w:tmpl w:val="6ECE53B4"/>
    <w:lvl w:ilvl="0" w:tplc="FFFFFFFF">
      <w:start w:val="1"/>
      <w:numFmt w:val="lowerRoman"/>
      <w:lvlText w:val="%1."/>
      <w:lvlJc w:val="righ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nsid w:val="7D2842D2"/>
    <w:multiLevelType w:val="hybridMultilevel"/>
    <w:tmpl w:val="E9724910"/>
    <w:lvl w:ilvl="0" w:tplc="FFFFFFFF">
      <w:numFmt w:val="bullet"/>
      <w:lvlText w:val="-"/>
      <w:lvlJc w:val="left"/>
      <w:pPr>
        <w:tabs>
          <w:tab w:val="num" w:pos="720"/>
        </w:tabs>
        <w:ind w:left="720" w:hanging="360"/>
      </w:pPr>
      <w:rPr>
        <w:rFonts w:ascii="Times" w:eastAsia="바탕" w:hAnsi="Times" w:cs="Time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2"/>
  </w:num>
  <w:num w:numId="3">
    <w:abstractNumId w:val="6"/>
  </w:num>
  <w:num w:numId="4">
    <w:abstractNumId w:val="19"/>
  </w:num>
  <w:num w:numId="5">
    <w:abstractNumId w:val="37"/>
  </w:num>
  <w:num w:numId="6">
    <w:abstractNumId w:val="2"/>
  </w:num>
  <w:num w:numId="7">
    <w:abstractNumId w:val="27"/>
  </w:num>
  <w:num w:numId="8">
    <w:abstractNumId w:val="1"/>
  </w:num>
  <w:num w:numId="9">
    <w:abstractNumId w:val="23"/>
  </w:num>
  <w:num w:numId="10">
    <w:abstractNumId w:val="22"/>
  </w:num>
  <w:num w:numId="11">
    <w:abstractNumId w:val="3"/>
  </w:num>
  <w:num w:numId="12">
    <w:abstractNumId w:val="35"/>
  </w:num>
  <w:num w:numId="13">
    <w:abstractNumId w:val="33"/>
  </w:num>
  <w:num w:numId="14">
    <w:abstractNumId w:val="5"/>
  </w:num>
  <w:num w:numId="15">
    <w:abstractNumId w:val="40"/>
  </w:num>
  <w:num w:numId="16">
    <w:abstractNumId w:val="30"/>
  </w:num>
  <w:num w:numId="17">
    <w:abstractNumId w:val="39"/>
  </w:num>
  <w:num w:numId="18">
    <w:abstractNumId w:val="26"/>
  </w:num>
  <w:num w:numId="19">
    <w:abstractNumId w:val="43"/>
  </w:num>
  <w:num w:numId="20">
    <w:abstractNumId w:val="44"/>
  </w:num>
  <w:num w:numId="2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8"/>
  </w:num>
  <w:num w:numId="24">
    <w:abstractNumId w:val="38"/>
  </w:num>
  <w:num w:numId="25">
    <w:abstractNumId w:val="21"/>
  </w:num>
  <w:num w:numId="26">
    <w:abstractNumId w:val="45"/>
  </w:num>
  <w:num w:numId="27">
    <w:abstractNumId w:val="31"/>
  </w:num>
  <w:num w:numId="28">
    <w:abstractNumId w:val="41"/>
  </w:num>
  <w:num w:numId="29">
    <w:abstractNumId w:val="20"/>
  </w:num>
  <w:num w:numId="30">
    <w:abstractNumId w:val="36"/>
  </w:num>
  <w:num w:numId="31">
    <w:abstractNumId w:val="15"/>
  </w:num>
  <w:num w:numId="32">
    <w:abstractNumId w:val="4"/>
  </w:num>
  <w:num w:numId="33">
    <w:abstractNumId w:val="12"/>
  </w:num>
  <w:num w:numId="34">
    <w:abstractNumId w:val="29"/>
  </w:num>
  <w:num w:numId="35">
    <w:abstractNumId w:val="42"/>
  </w:num>
  <w:num w:numId="36">
    <w:abstractNumId w:val="11"/>
  </w:num>
  <w:num w:numId="37">
    <w:abstractNumId w:val="28"/>
  </w:num>
  <w:num w:numId="38">
    <w:abstractNumId w:val="9"/>
  </w:num>
  <w:num w:numId="39">
    <w:abstractNumId w:val="25"/>
  </w:num>
  <w:num w:numId="40">
    <w:abstractNumId w:val="24"/>
  </w:num>
  <w:num w:numId="41">
    <w:abstractNumId w:val="10"/>
  </w:num>
  <w:num w:numId="42">
    <w:abstractNumId w:val="16"/>
  </w:num>
  <w:num w:numId="43">
    <w:abstractNumId w:val="14"/>
  </w:num>
  <w:num w:numId="44">
    <w:abstractNumId w:val="6"/>
  </w:num>
  <w:num w:numId="45">
    <w:abstractNumId w:val="18"/>
  </w:num>
  <w:num w:numId="46">
    <w:abstractNumId w:val="6"/>
  </w:num>
  <w:num w:numId="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printFractionalCharacterWidth/>
  <w:bordersDoNotSurroundHeader/>
  <w:bordersDoNotSurroundFooter/>
  <w:proofState w:spelling="clean" w:grammar="clean"/>
  <w:attachedTemplate r:id="rId1"/>
  <w:linkStyles/>
  <w:stylePaneFormatFilter w:val="3F01"/>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8434">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821A97"/>
    <w:rsid w:val="000000B0"/>
    <w:rsid w:val="00000880"/>
    <w:rsid w:val="00001A50"/>
    <w:rsid w:val="00001FA3"/>
    <w:rsid w:val="00003107"/>
    <w:rsid w:val="00003799"/>
    <w:rsid w:val="00003CE9"/>
    <w:rsid w:val="00004000"/>
    <w:rsid w:val="00005AA1"/>
    <w:rsid w:val="00005CB1"/>
    <w:rsid w:val="00005D39"/>
    <w:rsid w:val="0001018B"/>
    <w:rsid w:val="00012708"/>
    <w:rsid w:val="00013472"/>
    <w:rsid w:val="0001404A"/>
    <w:rsid w:val="00014377"/>
    <w:rsid w:val="00015BC2"/>
    <w:rsid w:val="000174E3"/>
    <w:rsid w:val="0001794E"/>
    <w:rsid w:val="000205AA"/>
    <w:rsid w:val="00022CD3"/>
    <w:rsid w:val="00023206"/>
    <w:rsid w:val="0002348B"/>
    <w:rsid w:val="00024A9D"/>
    <w:rsid w:val="00024EA2"/>
    <w:rsid w:val="00025492"/>
    <w:rsid w:val="000259F6"/>
    <w:rsid w:val="00027C12"/>
    <w:rsid w:val="00027F76"/>
    <w:rsid w:val="000300E9"/>
    <w:rsid w:val="000316F6"/>
    <w:rsid w:val="00032F3F"/>
    <w:rsid w:val="00035BE4"/>
    <w:rsid w:val="000376B4"/>
    <w:rsid w:val="000376FB"/>
    <w:rsid w:val="000378F3"/>
    <w:rsid w:val="0004079B"/>
    <w:rsid w:val="00040E38"/>
    <w:rsid w:val="0004201A"/>
    <w:rsid w:val="00043FD6"/>
    <w:rsid w:val="00044140"/>
    <w:rsid w:val="00046EE9"/>
    <w:rsid w:val="000470C6"/>
    <w:rsid w:val="000503BF"/>
    <w:rsid w:val="00052722"/>
    <w:rsid w:val="0005319F"/>
    <w:rsid w:val="00053728"/>
    <w:rsid w:val="00054865"/>
    <w:rsid w:val="00055667"/>
    <w:rsid w:val="000563E8"/>
    <w:rsid w:val="00056599"/>
    <w:rsid w:val="00056BE0"/>
    <w:rsid w:val="00056D0D"/>
    <w:rsid w:val="00056F22"/>
    <w:rsid w:val="0005738F"/>
    <w:rsid w:val="0005767D"/>
    <w:rsid w:val="00057AB4"/>
    <w:rsid w:val="0006118D"/>
    <w:rsid w:val="000619F3"/>
    <w:rsid w:val="00061ADC"/>
    <w:rsid w:val="00062637"/>
    <w:rsid w:val="00062A96"/>
    <w:rsid w:val="00063AB4"/>
    <w:rsid w:val="0006508E"/>
    <w:rsid w:val="00065767"/>
    <w:rsid w:val="0006681A"/>
    <w:rsid w:val="00066D97"/>
    <w:rsid w:val="000714FA"/>
    <w:rsid w:val="0007162D"/>
    <w:rsid w:val="00073385"/>
    <w:rsid w:val="00073975"/>
    <w:rsid w:val="000740C6"/>
    <w:rsid w:val="00074925"/>
    <w:rsid w:val="00074D5F"/>
    <w:rsid w:val="00075401"/>
    <w:rsid w:val="000765C0"/>
    <w:rsid w:val="00076B10"/>
    <w:rsid w:val="00076CC1"/>
    <w:rsid w:val="00077533"/>
    <w:rsid w:val="00080173"/>
    <w:rsid w:val="000812FE"/>
    <w:rsid w:val="00081958"/>
    <w:rsid w:val="0008402B"/>
    <w:rsid w:val="0008443B"/>
    <w:rsid w:val="00084CDF"/>
    <w:rsid w:val="00084F9F"/>
    <w:rsid w:val="000851C4"/>
    <w:rsid w:val="00085D27"/>
    <w:rsid w:val="00086788"/>
    <w:rsid w:val="000901C4"/>
    <w:rsid w:val="00091286"/>
    <w:rsid w:val="00092F2B"/>
    <w:rsid w:val="0009387B"/>
    <w:rsid w:val="00093C5F"/>
    <w:rsid w:val="000948DF"/>
    <w:rsid w:val="0009701C"/>
    <w:rsid w:val="00097592"/>
    <w:rsid w:val="0009765E"/>
    <w:rsid w:val="000978FE"/>
    <w:rsid w:val="000A0BB2"/>
    <w:rsid w:val="000A1771"/>
    <w:rsid w:val="000A292C"/>
    <w:rsid w:val="000A4A6A"/>
    <w:rsid w:val="000A633B"/>
    <w:rsid w:val="000A7B44"/>
    <w:rsid w:val="000A7E5A"/>
    <w:rsid w:val="000B0B43"/>
    <w:rsid w:val="000B0C67"/>
    <w:rsid w:val="000B0F44"/>
    <w:rsid w:val="000B1250"/>
    <w:rsid w:val="000B1711"/>
    <w:rsid w:val="000B3317"/>
    <w:rsid w:val="000B468C"/>
    <w:rsid w:val="000B5065"/>
    <w:rsid w:val="000B50EB"/>
    <w:rsid w:val="000B65E8"/>
    <w:rsid w:val="000B7B5D"/>
    <w:rsid w:val="000C11EF"/>
    <w:rsid w:val="000C121E"/>
    <w:rsid w:val="000C31C1"/>
    <w:rsid w:val="000C5ED4"/>
    <w:rsid w:val="000C649F"/>
    <w:rsid w:val="000C6924"/>
    <w:rsid w:val="000C7C25"/>
    <w:rsid w:val="000D0008"/>
    <w:rsid w:val="000D03C2"/>
    <w:rsid w:val="000D07C8"/>
    <w:rsid w:val="000D1B08"/>
    <w:rsid w:val="000D1B94"/>
    <w:rsid w:val="000D1CE7"/>
    <w:rsid w:val="000D2EF8"/>
    <w:rsid w:val="000D59B2"/>
    <w:rsid w:val="000D5C6B"/>
    <w:rsid w:val="000D6043"/>
    <w:rsid w:val="000D742E"/>
    <w:rsid w:val="000D7A70"/>
    <w:rsid w:val="000E02DC"/>
    <w:rsid w:val="000E0476"/>
    <w:rsid w:val="000E1B55"/>
    <w:rsid w:val="000E1FFE"/>
    <w:rsid w:val="000E2A47"/>
    <w:rsid w:val="000E6664"/>
    <w:rsid w:val="000E6ED2"/>
    <w:rsid w:val="000E77EE"/>
    <w:rsid w:val="000E7F36"/>
    <w:rsid w:val="000F02A5"/>
    <w:rsid w:val="000F07A0"/>
    <w:rsid w:val="000F10AF"/>
    <w:rsid w:val="000F20D7"/>
    <w:rsid w:val="000F23F2"/>
    <w:rsid w:val="000F26C8"/>
    <w:rsid w:val="000F4CFC"/>
    <w:rsid w:val="000F5131"/>
    <w:rsid w:val="000F5761"/>
    <w:rsid w:val="000F5785"/>
    <w:rsid w:val="001010A9"/>
    <w:rsid w:val="0010291B"/>
    <w:rsid w:val="00102CE8"/>
    <w:rsid w:val="00103105"/>
    <w:rsid w:val="0010310E"/>
    <w:rsid w:val="001037F4"/>
    <w:rsid w:val="00103B61"/>
    <w:rsid w:val="00104305"/>
    <w:rsid w:val="00104B0B"/>
    <w:rsid w:val="00105392"/>
    <w:rsid w:val="00105BED"/>
    <w:rsid w:val="001061FE"/>
    <w:rsid w:val="001064ED"/>
    <w:rsid w:val="00111137"/>
    <w:rsid w:val="0011330E"/>
    <w:rsid w:val="001162CB"/>
    <w:rsid w:val="00116FFD"/>
    <w:rsid w:val="00121E6B"/>
    <w:rsid w:val="00123E20"/>
    <w:rsid w:val="00123F96"/>
    <w:rsid w:val="00123FAE"/>
    <w:rsid w:val="00124593"/>
    <w:rsid w:val="00124DC5"/>
    <w:rsid w:val="00126328"/>
    <w:rsid w:val="001264AB"/>
    <w:rsid w:val="00126A9A"/>
    <w:rsid w:val="00127195"/>
    <w:rsid w:val="001275E3"/>
    <w:rsid w:val="00127BCA"/>
    <w:rsid w:val="00127F2D"/>
    <w:rsid w:val="001303D8"/>
    <w:rsid w:val="00131432"/>
    <w:rsid w:val="001314E7"/>
    <w:rsid w:val="00131620"/>
    <w:rsid w:val="00131B31"/>
    <w:rsid w:val="00131B86"/>
    <w:rsid w:val="00132EF6"/>
    <w:rsid w:val="00133F4C"/>
    <w:rsid w:val="0013629F"/>
    <w:rsid w:val="001365FF"/>
    <w:rsid w:val="00136A9F"/>
    <w:rsid w:val="00141F02"/>
    <w:rsid w:val="00143885"/>
    <w:rsid w:val="00144E43"/>
    <w:rsid w:val="00146998"/>
    <w:rsid w:val="00147066"/>
    <w:rsid w:val="0015110F"/>
    <w:rsid w:val="00151E17"/>
    <w:rsid w:val="00152908"/>
    <w:rsid w:val="00152F60"/>
    <w:rsid w:val="001547E5"/>
    <w:rsid w:val="001549BE"/>
    <w:rsid w:val="00154E38"/>
    <w:rsid w:val="00155A18"/>
    <w:rsid w:val="00155DE6"/>
    <w:rsid w:val="001562BC"/>
    <w:rsid w:val="00157F98"/>
    <w:rsid w:val="00160E11"/>
    <w:rsid w:val="001610C1"/>
    <w:rsid w:val="00161753"/>
    <w:rsid w:val="00161A4C"/>
    <w:rsid w:val="00162F07"/>
    <w:rsid w:val="001632C6"/>
    <w:rsid w:val="001640F5"/>
    <w:rsid w:val="0016552C"/>
    <w:rsid w:val="00165B32"/>
    <w:rsid w:val="00166986"/>
    <w:rsid w:val="001706D7"/>
    <w:rsid w:val="0017109D"/>
    <w:rsid w:val="001739E7"/>
    <w:rsid w:val="00174A68"/>
    <w:rsid w:val="001760F4"/>
    <w:rsid w:val="0017676A"/>
    <w:rsid w:val="001801BD"/>
    <w:rsid w:val="00182596"/>
    <w:rsid w:val="00182E72"/>
    <w:rsid w:val="00182F09"/>
    <w:rsid w:val="001834ED"/>
    <w:rsid w:val="001854E4"/>
    <w:rsid w:val="00186DA5"/>
    <w:rsid w:val="00187251"/>
    <w:rsid w:val="00187316"/>
    <w:rsid w:val="00191832"/>
    <w:rsid w:val="001932B8"/>
    <w:rsid w:val="0019475C"/>
    <w:rsid w:val="00194A9C"/>
    <w:rsid w:val="00194AE8"/>
    <w:rsid w:val="00194B03"/>
    <w:rsid w:val="0019516C"/>
    <w:rsid w:val="00195921"/>
    <w:rsid w:val="0019689F"/>
    <w:rsid w:val="00197F5D"/>
    <w:rsid w:val="001A0E21"/>
    <w:rsid w:val="001A10F6"/>
    <w:rsid w:val="001A2AF1"/>
    <w:rsid w:val="001A4774"/>
    <w:rsid w:val="001A52C6"/>
    <w:rsid w:val="001A552E"/>
    <w:rsid w:val="001A6AED"/>
    <w:rsid w:val="001A6F01"/>
    <w:rsid w:val="001A7355"/>
    <w:rsid w:val="001A73A8"/>
    <w:rsid w:val="001A74FC"/>
    <w:rsid w:val="001A76AF"/>
    <w:rsid w:val="001A77BC"/>
    <w:rsid w:val="001B00F4"/>
    <w:rsid w:val="001B0D12"/>
    <w:rsid w:val="001B2DD0"/>
    <w:rsid w:val="001B485C"/>
    <w:rsid w:val="001B495B"/>
    <w:rsid w:val="001B4D64"/>
    <w:rsid w:val="001B752A"/>
    <w:rsid w:val="001C02EF"/>
    <w:rsid w:val="001C4944"/>
    <w:rsid w:val="001C568B"/>
    <w:rsid w:val="001D019F"/>
    <w:rsid w:val="001D0E34"/>
    <w:rsid w:val="001D19D7"/>
    <w:rsid w:val="001D1E08"/>
    <w:rsid w:val="001D242E"/>
    <w:rsid w:val="001D24CA"/>
    <w:rsid w:val="001D2750"/>
    <w:rsid w:val="001D2C75"/>
    <w:rsid w:val="001D5949"/>
    <w:rsid w:val="001D5FD8"/>
    <w:rsid w:val="001D66AB"/>
    <w:rsid w:val="001D77C8"/>
    <w:rsid w:val="001D7BD2"/>
    <w:rsid w:val="001E11E9"/>
    <w:rsid w:val="001E1A18"/>
    <w:rsid w:val="001E3BBB"/>
    <w:rsid w:val="001E3F62"/>
    <w:rsid w:val="001E57B8"/>
    <w:rsid w:val="001E5B36"/>
    <w:rsid w:val="001E785F"/>
    <w:rsid w:val="001E7D25"/>
    <w:rsid w:val="001F0A13"/>
    <w:rsid w:val="001F104B"/>
    <w:rsid w:val="001F140D"/>
    <w:rsid w:val="001F2BE0"/>
    <w:rsid w:val="001F32C2"/>
    <w:rsid w:val="001F33A1"/>
    <w:rsid w:val="001F3899"/>
    <w:rsid w:val="001F38D2"/>
    <w:rsid w:val="001F5E6E"/>
    <w:rsid w:val="001F6100"/>
    <w:rsid w:val="001F664A"/>
    <w:rsid w:val="001F75AE"/>
    <w:rsid w:val="001F7797"/>
    <w:rsid w:val="00200CFE"/>
    <w:rsid w:val="002014BA"/>
    <w:rsid w:val="002022DF"/>
    <w:rsid w:val="00202649"/>
    <w:rsid w:val="002029A5"/>
    <w:rsid w:val="00203CBF"/>
    <w:rsid w:val="00204311"/>
    <w:rsid w:val="00204642"/>
    <w:rsid w:val="00205A41"/>
    <w:rsid w:val="0020612F"/>
    <w:rsid w:val="00210011"/>
    <w:rsid w:val="00210190"/>
    <w:rsid w:val="0021050E"/>
    <w:rsid w:val="00210F0C"/>
    <w:rsid w:val="00211853"/>
    <w:rsid w:val="00212D25"/>
    <w:rsid w:val="00212D45"/>
    <w:rsid w:val="002133FE"/>
    <w:rsid w:val="002135E9"/>
    <w:rsid w:val="00213795"/>
    <w:rsid w:val="0021435F"/>
    <w:rsid w:val="002144E4"/>
    <w:rsid w:val="0021548E"/>
    <w:rsid w:val="00215848"/>
    <w:rsid w:val="0021603C"/>
    <w:rsid w:val="002177B8"/>
    <w:rsid w:val="00220213"/>
    <w:rsid w:val="002217AD"/>
    <w:rsid w:val="00221916"/>
    <w:rsid w:val="00222268"/>
    <w:rsid w:val="002225D8"/>
    <w:rsid w:val="00222D2F"/>
    <w:rsid w:val="00223239"/>
    <w:rsid w:val="00223B75"/>
    <w:rsid w:val="00225705"/>
    <w:rsid w:val="00226749"/>
    <w:rsid w:val="00226D3A"/>
    <w:rsid w:val="002270D4"/>
    <w:rsid w:val="00227751"/>
    <w:rsid w:val="002279D9"/>
    <w:rsid w:val="0023032A"/>
    <w:rsid w:val="002309E6"/>
    <w:rsid w:val="00231C11"/>
    <w:rsid w:val="00233861"/>
    <w:rsid w:val="00233E7C"/>
    <w:rsid w:val="002341C9"/>
    <w:rsid w:val="00237173"/>
    <w:rsid w:val="002371F1"/>
    <w:rsid w:val="002403B3"/>
    <w:rsid w:val="00240ECE"/>
    <w:rsid w:val="00241127"/>
    <w:rsid w:val="002414EC"/>
    <w:rsid w:val="002416D7"/>
    <w:rsid w:val="0024178C"/>
    <w:rsid w:val="00243040"/>
    <w:rsid w:val="00245037"/>
    <w:rsid w:val="00247B71"/>
    <w:rsid w:val="00250C30"/>
    <w:rsid w:val="00252663"/>
    <w:rsid w:val="0025321C"/>
    <w:rsid w:val="0025400A"/>
    <w:rsid w:val="00254CF2"/>
    <w:rsid w:val="00255BE9"/>
    <w:rsid w:val="002567B7"/>
    <w:rsid w:val="002569C4"/>
    <w:rsid w:val="00257511"/>
    <w:rsid w:val="002579AC"/>
    <w:rsid w:val="00257E78"/>
    <w:rsid w:val="00260A6C"/>
    <w:rsid w:val="00261089"/>
    <w:rsid w:val="00261BD0"/>
    <w:rsid w:val="002620A1"/>
    <w:rsid w:val="00262465"/>
    <w:rsid w:val="00262A23"/>
    <w:rsid w:val="00263137"/>
    <w:rsid w:val="00265577"/>
    <w:rsid w:val="00265FF9"/>
    <w:rsid w:val="002673BE"/>
    <w:rsid w:val="002676EE"/>
    <w:rsid w:val="00270A00"/>
    <w:rsid w:val="00272277"/>
    <w:rsid w:val="0027357C"/>
    <w:rsid w:val="002740E7"/>
    <w:rsid w:val="00274D6C"/>
    <w:rsid w:val="00275FF1"/>
    <w:rsid w:val="00277A26"/>
    <w:rsid w:val="0028070B"/>
    <w:rsid w:val="002815C3"/>
    <w:rsid w:val="0028237B"/>
    <w:rsid w:val="002826EF"/>
    <w:rsid w:val="00283044"/>
    <w:rsid w:val="00283267"/>
    <w:rsid w:val="002834E1"/>
    <w:rsid w:val="00284541"/>
    <w:rsid w:val="00285854"/>
    <w:rsid w:val="00286BA2"/>
    <w:rsid w:val="00287C24"/>
    <w:rsid w:val="00287CCD"/>
    <w:rsid w:val="0029098C"/>
    <w:rsid w:val="0029192E"/>
    <w:rsid w:val="00291B06"/>
    <w:rsid w:val="00292BEF"/>
    <w:rsid w:val="00292E5D"/>
    <w:rsid w:val="00292F7E"/>
    <w:rsid w:val="00295139"/>
    <w:rsid w:val="00295EA2"/>
    <w:rsid w:val="00297AE9"/>
    <w:rsid w:val="00297E18"/>
    <w:rsid w:val="00297E50"/>
    <w:rsid w:val="002A0F90"/>
    <w:rsid w:val="002A1157"/>
    <w:rsid w:val="002A18B1"/>
    <w:rsid w:val="002A24EE"/>
    <w:rsid w:val="002A32F9"/>
    <w:rsid w:val="002A52D0"/>
    <w:rsid w:val="002A68C4"/>
    <w:rsid w:val="002A779D"/>
    <w:rsid w:val="002B01B6"/>
    <w:rsid w:val="002B0505"/>
    <w:rsid w:val="002B053A"/>
    <w:rsid w:val="002B0DF7"/>
    <w:rsid w:val="002B266B"/>
    <w:rsid w:val="002B3735"/>
    <w:rsid w:val="002B3F76"/>
    <w:rsid w:val="002B44A5"/>
    <w:rsid w:val="002B57FF"/>
    <w:rsid w:val="002B61E5"/>
    <w:rsid w:val="002B6782"/>
    <w:rsid w:val="002C016F"/>
    <w:rsid w:val="002C0B9A"/>
    <w:rsid w:val="002C1A01"/>
    <w:rsid w:val="002C2A31"/>
    <w:rsid w:val="002C2EF9"/>
    <w:rsid w:val="002C41E1"/>
    <w:rsid w:val="002C42CA"/>
    <w:rsid w:val="002C4AF7"/>
    <w:rsid w:val="002C4C53"/>
    <w:rsid w:val="002C4F59"/>
    <w:rsid w:val="002C5A37"/>
    <w:rsid w:val="002C5F02"/>
    <w:rsid w:val="002C62DE"/>
    <w:rsid w:val="002C6B3E"/>
    <w:rsid w:val="002D073D"/>
    <w:rsid w:val="002D0DDA"/>
    <w:rsid w:val="002D135D"/>
    <w:rsid w:val="002D4CC9"/>
    <w:rsid w:val="002D75DD"/>
    <w:rsid w:val="002E0CCF"/>
    <w:rsid w:val="002E1005"/>
    <w:rsid w:val="002E1342"/>
    <w:rsid w:val="002E1840"/>
    <w:rsid w:val="002E3516"/>
    <w:rsid w:val="002E35A6"/>
    <w:rsid w:val="002E3D7A"/>
    <w:rsid w:val="002E4505"/>
    <w:rsid w:val="002E4DCC"/>
    <w:rsid w:val="002E580C"/>
    <w:rsid w:val="002E61FA"/>
    <w:rsid w:val="002E7E50"/>
    <w:rsid w:val="002F2898"/>
    <w:rsid w:val="002F3099"/>
    <w:rsid w:val="002F39BC"/>
    <w:rsid w:val="002F3D52"/>
    <w:rsid w:val="002F7469"/>
    <w:rsid w:val="00301DB4"/>
    <w:rsid w:val="00302529"/>
    <w:rsid w:val="00302BD7"/>
    <w:rsid w:val="00302E27"/>
    <w:rsid w:val="00303AD1"/>
    <w:rsid w:val="00303FE5"/>
    <w:rsid w:val="00304E05"/>
    <w:rsid w:val="003050AA"/>
    <w:rsid w:val="0030647E"/>
    <w:rsid w:val="003109B0"/>
    <w:rsid w:val="00312BB0"/>
    <w:rsid w:val="0031395E"/>
    <w:rsid w:val="00313968"/>
    <w:rsid w:val="00313C14"/>
    <w:rsid w:val="00313F2D"/>
    <w:rsid w:val="00316EA4"/>
    <w:rsid w:val="00317ECC"/>
    <w:rsid w:val="00321E17"/>
    <w:rsid w:val="003223D2"/>
    <w:rsid w:val="003228FE"/>
    <w:rsid w:val="00322BC6"/>
    <w:rsid w:val="00322D34"/>
    <w:rsid w:val="00322DFC"/>
    <w:rsid w:val="00323A0F"/>
    <w:rsid w:val="003245B0"/>
    <w:rsid w:val="00327779"/>
    <w:rsid w:val="00327953"/>
    <w:rsid w:val="00331385"/>
    <w:rsid w:val="00332561"/>
    <w:rsid w:val="00333BD7"/>
    <w:rsid w:val="00334018"/>
    <w:rsid w:val="00334C71"/>
    <w:rsid w:val="00335236"/>
    <w:rsid w:val="00336A21"/>
    <w:rsid w:val="00336C4A"/>
    <w:rsid w:val="003406EF"/>
    <w:rsid w:val="00340DA6"/>
    <w:rsid w:val="00340F79"/>
    <w:rsid w:val="003415E2"/>
    <w:rsid w:val="00342B13"/>
    <w:rsid w:val="003439FE"/>
    <w:rsid w:val="003452C5"/>
    <w:rsid w:val="00346E88"/>
    <w:rsid w:val="00346F64"/>
    <w:rsid w:val="00347421"/>
    <w:rsid w:val="00347F5F"/>
    <w:rsid w:val="00351645"/>
    <w:rsid w:val="00353129"/>
    <w:rsid w:val="003544B9"/>
    <w:rsid w:val="00354C3A"/>
    <w:rsid w:val="00360C76"/>
    <w:rsid w:val="00361F6B"/>
    <w:rsid w:val="00365A43"/>
    <w:rsid w:val="00365FA5"/>
    <w:rsid w:val="00366732"/>
    <w:rsid w:val="003702A1"/>
    <w:rsid w:val="00370446"/>
    <w:rsid w:val="003710B4"/>
    <w:rsid w:val="003716EA"/>
    <w:rsid w:val="00371943"/>
    <w:rsid w:val="00371C72"/>
    <w:rsid w:val="00372518"/>
    <w:rsid w:val="00372A85"/>
    <w:rsid w:val="00373CD9"/>
    <w:rsid w:val="003742BB"/>
    <w:rsid w:val="003748EE"/>
    <w:rsid w:val="00375E99"/>
    <w:rsid w:val="00376F76"/>
    <w:rsid w:val="003772AC"/>
    <w:rsid w:val="00377416"/>
    <w:rsid w:val="003803F8"/>
    <w:rsid w:val="003818F2"/>
    <w:rsid w:val="003840FB"/>
    <w:rsid w:val="003842C1"/>
    <w:rsid w:val="003845E1"/>
    <w:rsid w:val="003848E1"/>
    <w:rsid w:val="00384C02"/>
    <w:rsid w:val="00384EF0"/>
    <w:rsid w:val="003863A1"/>
    <w:rsid w:val="003871A8"/>
    <w:rsid w:val="003877EE"/>
    <w:rsid w:val="003918AE"/>
    <w:rsid w:val="00392BE2"/>
    <w:rsid w:val="00393A9A"/>
    <w:rsid w:val="00394311"/>
    <w:rsid w:val="003949EB"/>
    <w:rsid w:val="00395DAD"/>
    <w:rsid w:val="00397911"/>
    <w:rsid w:val="003A1B97"/>
    <w:rsid w:val="003A27F3"/>
    <w:rsid w:val="003A2B9B"/>
    <w:rsid w:val="003A3060"/>
    <w:rsid w:val="003A3C53"/>
    <w:rsid w:val="003A4035"/>
    <w:rsid w:val="003A4559"/>
    <w:rsid w:val="003A45EB"/>
    <w:rsid w:val="003A5C8B"/>
    <w:rsid w:val="003B02A6"/>
    <w:rsid w:val="003B0942"/>
    <w:rsid w:val="003B122B"/>
    <w:rsid w:val="003B1531"/>
    <w:rsid w:val="003B1EAF"/>
    <w:rsid w:val="003B232C"/>
    <w:rsid w:val="003B2C24"/>
    <w:rsid w:val="003B340A"/>
    <w:rsid w:val="003B4FD8"/>
    <w:rsid w:val="003B5508"/>
    <w:rsid w:val="003B685A"/>
    <w:rsid w:val="003B751A"/>
    <w:rsid w:val="003C1AAE"/>
    <w:rsid w:val="003C1B97"/>
    <w:rsid w:val="003C2451"/>
    <w:rsid w:val="003C39AC"/>
    <w:rsid w:val="003C39D6"/>
    <w:rsid w:val="003C570A"/>
    <w:rsid w:val="003C64A9"/>
    <w:rsid w:val="003C6A34"/>
    <w:rsid w:val="003D1EC3"/>
    <w:rsid w:val="003D2A07"/>
    <w:rsid w:val="003D3451"/>
    <w:rsid w:val="003D36FF"/>
    <w:rsid w:val="003D3A4A"/>
    <w:rsid w:val="003D3B95"/>
    <w:rsid w:val="003D3F36"/>
    <w:rsid w:val="003D42DA"/>
    <w:rsid w:val="003D453B"/>
    <w:rsid w:val="003D5F39"/>
    <w:rsid w:val="003D6761"/>
    <w:rsid w:val="003D6DE6"/>
    <w:rsid w:val="003D7CD5"/>
    <w:rsid w:val="003D7EA3"/>
    <w:rsid w:val="003E007A"/>
    <w:rsid w:val="003E1E68"/>
    <w:rsid w:val="003E23D6"/>
    <w:rsid w:val="003E29D5"/>
    <w:rsid w:val="003E3625"/>
    <w:rsid w:val="003E3D39"/>
    <w:rsid w:val="003E47F8"/>
    <w:rsid w:val="003E5E1B"/>
    <w:rsid w:val="003E6FC6"/>
    <w:rsid w:val="003E7E6C"/>
    <w:rsid w:val="003F0493"/>
    <w:rsid w:val="003F1705"/>
    <w:rsid w:val="003F1AC7"/>
    <w:rsid w:val="003F31C4"/>
    <w:rsid w:val="003F323F"/>
    <w:rsid w:val="003F5D77"/>
    <w:rsid w:val="003F67D8"/>
    <w:rsid w:val="003F67DE"/>
    <w:rsid w:val="003F68BB"/>
    <w:rsid w:val="003F72BB"/>
    <w:rsid w:val="00400C56"/>
    <w:rsid w:val="00401B3F"/>
    <w:rsid w:val="00402908"/>
    <w:rsid w:val="00403485"/>
    <w:rsid w:val="00403A02"/>
    <w:rsid w:val="00403E6D"/>
    <w:rsid w:val="00404E26"/>
    <w:rsid w:val="00405E5B"/>
    <w:rsid w:val="00406862"/>
    <w:rsid w:val="00407935"/>
    <w:rsid w:val="0041041B"/>
    <w:rsid w:val="00410A44"/>
    <w:rsid w:val="00410C0E"/>
    <w:rsid w:val="00411C63"/>
    <w:rsid w:val="004125B9"/>
    <w:rsid w:val="004138AC"/>
    <w:rsid w:val="0041434B"/>
    <w:rsid w:val="004155D3"/>
    <w:rsid w:val="004156A3"/>
    <w:rsid w:val="00415D52"/>
    <w:rsid w:val="00416427"/>
    <w:rsid w:val="004165F2"/>
    <w:rsid w:val="004166B7"/>
    <w:rsid w:val="00416BFE"/>
    <w:rsid w:val="004179C7"/>
    <w:rsid w:val="0042081D"/>
    <w:rsid w:val="00421F1D"/>
    <w:rsid w:val="004231A4"/>
    <w:rsid w:val="004237FF"/>
    <w:rsid w:val="00426578"/>
    <w:rsid w:val="004275E2"/>
    <w:rsid w:val="00430F23"/>
    <w:rsid w:val="00431C94"/>
    <w:rsid w:val="00432354"/>
    <w:rsid w:val="00434F35"/>
    <w:rsid w:val="004354B9"/>
    <w:rsid w:val="00437FE0"/>
    <w:rsid w:val="004409F5"/>
    <w:rsid w:val="00441C29"/>
    <w:rsid w:val="00441D4F"/>
    <w:rsid w:val="00442466"/>
    <w:rsid w:val="00443893"/>
    <w:rsid w:val="00443F44"/>
    <w:rsid w:val="00443F5A"/>
    <w:rsid w:val="00444697"/>
    <w:rsid w:val="00445156"/>
    <w:rsid w:val="004470D1"/>
    <w:rsid w:val="00447628"/>
    <w:rsid w:val="00447710"/>
    <w:rsid w:val="00450669"/>
    <w:rsid w:val="00450FAC"/>
    <w:rsid w:val="00454B36"/>
    <w:rsid w:val="00454D47"/>
    <w:rsid w:val="00454E97"/>
    <w:rsid w:val="0045634D"/>
    <w:rsid w:val="00456888"/>
    <w:rsid w:val="004571FA"/>
    <w:rsid w:val="00457ADB"/>
    <w:rsid w:val="00457CB8"/>
    <w:rsid w:val="00460138"/>
    <w:rsid w:val="00460742"/>
    <w:rsid w:val="004618CC"/>
    <w:rsid w:val="00461973"/>
    <w:rsid w:val="00461FFA"/>
    <w:rsid w:val="004629C2"/>
    <w:rsid w:val="004649F6"/>
    <w:rsid w:val="00464DCF"/>
    <w:rsid w:val="0046550D"/>
    <w:rsid w:val="00466BBD"/>
    <w:rsid w:val="00466DE8"/>
    <w:rsid w:val="00470AB7"/>
    <w:rsid w:val="00470B5E"/>
    <w:rsid w:val="0047126A"/>
    <w:rsid w:val="00471489"/>
    <w:rsid w:val="004716E7"/>
    <w:rsid w:val="00472006"/>
    <w:rsid w:val="004727C4"/>
    <w:rsid w:val="00476024"/>
    <w:rsid w:val="00476216"/>
    <w:rsid w:val="00476C4B"/>
    <w:rsid w:val="004821D4"/>
    <w:rsid w:val="0048258D"/>
    <w:rsid w:val="00483DC8"/>
    <w:rsid w:val="00483F21"/>
    <w:rsid w:val="004842B6"/>
    <w:rsid w:val="00484CFD"/>
    <w:rsid w:val="00485045"/>
    <w:rsid w:val="0048772A"/>
    <w:rsid w:val="004905DF"/>
    <w:rsid w:val="0049089D"/>
    <w:rsid w:val="00491B21"/>
    <w:rsid w:val="00492D4C"/>
    <w:rsid w:val="00493827"/>
    <w:rsid w:val="00493C7C"/>
    <w:rsid w:val="0049494D"/>
    <w:rsid w:val="00494A83"/>
    <w:rsid w:val="00495057"/>
    <w:rsid w:val="00495B87"/>
    <w:rsid w:val="004961FF"/>
    <w:rsid w:val="00496730"/>
    <w:rsid w:val="00497334"/>
    <w:rsid w:val="00497852"/>
    <w:rsid w:val="00497C43"/>
    <w:rsid w:val="004A0AA3"/>
    <w:rsid w:val="004A254D"/>
    <w:rsid w:val="004A271E"/>
    <w:rsid w:val="004A4778"/>
    <w:rsid w:val="004A4961"/>
    <w:rsid w:val="004A5AE6"/>
    <w:rsid w:val="004A5E60"/>
    <w:rsid w:val="004B3077"/>
    <w:rsid w:val="004B4029"/>
    <w:rsid w:val="004B485A"/>
    <w:rsid w:val="004B6B16"/>
    <w:rsid w:val="004B6C4F"/>
    <w:rsid w:val="004C019C"/>
    <w:rsid w:val="004C0620"/>
    <w:rsid w:val="004C14A6"/>
    <w:rsid w:val="004C15FA"/>
    <w:rsid w:val="004C22ED"/>
    <w:rsid w:val="004C2640"/>
    <w:rsid w:val="004C3DC6"/>
    <w:rsid w:val="004C4C05"/>
    <w:rsid w:val="004C5327"/>
    <w:rsid w:val="004C5EB6"/>
    <w:rsid w:val="004C634F"/>
    <w:rsid w:val="004C7B7D"/>
    <w:rsid w:val="004C7E96"/>
    <w:rsid w:val="004D01B0"/>
    <w:rsid w:val="004D1369"/>
    <w:rsid w:val="004D1BAD"/>
    <w:rsid w:val="004D2598"/>
    <w:rsid w:val="004D2819"/>
    <w:rsid w:val="004D2BB3"/>
    <w:rsid w:val="004D3FFE"/>
    <w:rsid w:val="004D4988"/>
    <w:rsid w:val="004D4FD0"/>
    <w:rsid w:val="004D73A6"/>
    <w:rsid w:val="004D77DE"/>
    <w:rsid w:val="004D7E91"/>
    <w:rsid w:val="004E04A7"/>
    <w:rsid w:val="004E2085"/>
    <w:rsid w:val="004E2BD2"/>
    <w:rsid w:val="004E3A61"/>
    <w:rsid w:val="004E3D24"/>
    <w:rsid w:val="004E4186"/>
    <w:rsid w:val="004E545E"/>
    <w:rsid w:val="004E5ABE"/>
    <w:rsid w:val="004E6000"/>
    <w:rsid w:val="004E72B3"/>
    <w:rsid w:val="004E7598"/>
    <w:rsid w:val="004E7CF8"/>
    <w:rsid w:val="004F03FF"/>
    <w:rsid w:val="004F1593"/>
    <w:rsid w:val="004F3BB5"/>
    <w:rsid w:val="004F40B6"/>
    <w:rsid w:val="004F49A1"/>
    <w:rsid w:val="004F6A2B"/>
    <w:rsid w:val="004F6A8A"/>
    <w:rsid w:val="005028B9"/>
    <w:rsid w:val="00502BBF"/>
    <w:rsid w:val="00502CCC"/>
    <w:rsid w:val="00503A5F"/>
    <w:rsid w:val="00503A85"/>
    <w:rsid w:val="00504102"/>
    <w:rsid w:val="00505F4F"/>
    <w:rsid w:val="00506AF9"/>
    <w:rsid w:val="00507C53"/>
    <w:rsid w:val="005104E6"/>
    <w:rsid w:val="0051513E"/>
    <w:rsid w:val="005157F0"/>
    <w:rsid w:val="00516A05"/>
    <w:rsid w:val="00516C7A"/>
    <w:rsid w:val="0051735F"/>
    <w:rsid w:val="005174AB"/>
    <w:rsid w:val="0051785C"/>
    <w:rsid w:val="00517C02"/>
    <w:rsid w:val="00517C88"/>
    <w:rsid w:val="005201E7"/>
    <w:rsid w:val="00520B84"/>
    <w:rsid w:val="005211B9"/>
    <w:rsid w:val="00521521"/>
    <w:rsid w:val="005217A9"/>
    <w:rsid w:val="00523032"/>
    <w:rsid w:val="0052347C"/>
    <w:rsid w:val="00523A91"/>
    <w:rsid w:val="005243F7"/>
    <w:rsid w:val="00524482"/>
    <w:rsid w:val="00524C6D"/>
    <w:rsid w:val="005251F8"/>
    <w:rsid w:val="00530704"/>
    <w:rsid w:val="00532285"/>
    <w:rsid w:val="00532E17"/>
    <w:rsid w:val="00533F53"/>
    <w:rsid w:val="00534012"/>
    <w:rsid w:val="005345D6"/>
    <w:rsid w:val="005350BB"/>
    <w:rsid w:val="00536527"/>
    <w:rsid w:val="00537D13"/>
    <w:rsid w:val="00540511"/>
    <w:rsid w:val="0054244D"/>
    <w:rsid w:val="0054421D"/>
    <w:rsid w:val="00545BB2"/>
    <w:rsid w:val="00546938"/>
    <w:rsid w:val="005469DE"/>
    <w:rsid w:val="005504FE"/>
    <w:rsid w:val="0055204E"/>
    <w:rsid w:val="00554ADA"/>
    <w:rsid w:val="005556B7"/>
    <w:rsid w:val="0055699A"/>
    <w:rsid w:val="00556E76"/>
    <w:rsid w:val="00556E87"/>
    <w:rsid w:val="005629E3"/>
    <w:rsid w:val="00562BDF"/>
    <w:rsid w:val="00563560"/>
    <w:rsid w:val="0056481E"/>
    <w:rsid w:val="005658FA"/>
    <w:rsid w:val="00565C8C"/>
    <w:rsid w:val="00565DC4"/>
    <w:rsid w:val="0056640A"/>
    <w:rsid w:val="00566A41"/>
    <w:rsid w:val="00566D26"/>
    <w:rsid w:val="005700D3"/>
    <w:rsid w:val="00571AF6"/>
    <w:rsid w:val="005721AA"/>
    <w:rsid w:val="005725F0"/>
    <w:rsid w:val="00572934"/>
    <w:rsid w:val="00572A41"/>
    <w:rsid w:val="005737DD"/>
    <w:rsid w:val="00573EEF"/>
    <w:rsid w:val="00577360"/>
    <w:rsid w:val="00577C00"/>
    <w:rsid w:val="00577D9F"/>
    <w:rsid w:val="005808CB"/>
    <w:rsid w:val="005823F2"/>
    <w:rsid w:val="00582816"/>
    <w:rsid w:val="00582F5E"/>
    <w:rsid w:val="005835A6"/>
    <w:rsid w:val="00583E8C"/>
    <w:rsid w:val="005850A4"/>
    <w:rsid w:val="005854EC"/>
    <w:rsid w:val="00585C3C"/>
    <w:rsid w:val="00586DC5"/>
    <w:rsid w:val="00586F6E"/>
    <w:rsid w:val="0058756F"/>
    <w:rsid w:val="005918C6"/>
    <w:rsid w:val="00591B32"/>
    <w:rsid w:val="00593E97"/>
    <w:rsid w:val="005944D4"/>
    <w:rsid w:val="00594D9D"/>
    <w:rsid w:val="005951D4"/>
    <w:rsid w:val="00595743"/>
    <w:rsid w:val="005958C3"/>
    <w:rsid w:val="00595CFF"/>
    <w:rsid w:val="00595FA3"/>
    <w:rsid w:val="00596DC0"/>
    <w:rsid w:val="005977E0"/>
    <w:rsid w:val="005A2731"/>
    <w:rsid w:val="005A321A"/>
    <w:rsid w:val="005A49FE"/>
    <w:rsid w:val="005A5ADE"/>
    <w:rsid w:val="005A6BFB"/>
    <w:rsid w:val="005A6FFE"/>
    <w:rsid w:val="005A7525"/>
    <w:rsid w:val="005B021D"/>
    <w:rsid w:val="005B16AC"/>
    <w:rsid w:val="005B2B68"/>
    <w:rsid w:val="005B2CB8"/>
    <w:rsid w:val="005B32E8"/>
    <w:rsid w:val="005B3729"/>
    <w:rsid w:val="005B4306"/>
    <w:rsid w:val="005B5B3B"/>
    <w:rsid w:val="005B7023"/>
    <w:rsid w:val="005C0AEC"/>
    <w:rsid w:val="005C210D"/>
    <w:rsid w:val="005C2C74"/>
    <w:rsid w:val="005C32DC"/>
    <w:rsid w:val="005C3C73"/>
    <w:rsid w:val="005C3D35"/>
    <w:rsid w:val="005C43FF"/>
    <w:rsid w:val="005C4F2F"/>
    <w:rsid w:val="005C5565"/>
    <w:rsid w:val="005C65B4"/>
    <w:rsid w:val="005C72BD"/>
    <w:rsid w:val="005C7417"/>
    <w:rsid w:val="005C7BA2"/>
    <w:rsid w:val="005D1857"/>
    <w:rsid w:val="005D25E7"/>
    <w:rsid w:val="005D2D5D"/>
    <w:rsid w:val="005D2E60"/>
    <w:rsid w:val="005D3AD1"/>
    <w:rsid w:val="005D42AC"/>
    <w:rsid w:val="005D6AB9"/>
    <w:rsid w:val="005D7049"/>
    <w:rsid w:val="005D7B1E"/>
    <w:rsid w:val="005E0FF2"/>
    <w:rsid w:val="005E26AB"/>
    <w:rsid w:val="005E2D67"/>
    <w:rsid w:val="005E3417"/>
    <w:rsid w:val="005E3EA9"/>
    <w:rsid w:val="005E5509"/>
    <w:rsid w:val="005E57B7"/>
    <w:rsid w:val="005E598F"/>
    <w:rsid w:val="005E669F"/>
    <w:rsid w:val="005E78FD"/>
    <w:rsid w:val="005E7A19"/>
    <w:rsid w:val="005F23B3"/>
    <w:rsid w:val="005F24EA"/>
    <w:rsid w:val="005F2AFA"/>
    <w:rsid w:val="005F3FE2"/>
    <w:rsid w:val="005F4463"/>
    <w:rsid w:val="005F4F30"/>
    <w:rsid w:val="005F538F"/>
    <w:rsid w:val="005F6E78"/>
    <w:rsid w:val="006002DC"/>
    <w:rsid w:val="006003A2"/>
    <w:rsid w:val="006006BC"/>
    <w:rsid w:val="00601EFB"/>
    <w:rsid w:val="006033D1"/>
    <w:rsid w:val="006038B2"/>
    <w:rsid w:val="00603CDF"/>
    <w:rsid w:val="00603F39"/>
    <w:rsid w:val="00604828"/>
    <w:rsid w:val="00605120"/>
    <w:rsid w:val="0060574C"/>
    <w:rsid w:val="00606A6C"/>
    <w:rsid w:val="00606D39"/>
    <w:rsid w:val="0060702E"/>
    <w:rsid w:val="00607686"/>
    <w:rsid w:val="00607CE0"/>
    <w:rsid w:val="006106B0"/>
    <w:rsid w:val="00610805"/>
    <w:rsid w:val="0061152A"/>
    <w:rsid w:val="00614C69"/>
    <w:rsid w:val="00614E73"/>
    <w:rsid w:val="00615E1A"/>
    <w:rsid w:val="0061635C"/>
    <w:rsid w:val="00616B79"/>
    <w:rsid w:val="0061731C"/>
    <w:rsid w:val="00617A5E"/>
    <w:rsid w:val="00621637"/>
    <w:rsid w:val="00621920"/>
    <w:rsid w:val="00621AFA"/>
    <w:rsid w:val="00622202"/>
    <w:rsid w:val="00622684"/>
    <w:rsid w:val="0062342B"/>
    <w:rsid w:val="0062524C"/>
    <w:rsid w:val="00625B38"/>
    <w:rsid w:val="00625EA1"/>
    <w:rsid w:val="00626C08"/>
    <w:rsid w:val="00627027"/>
    <w:rsid w:val="00631128"/>
    <w:rsid w:val="0063156E"/>
    <w:rsid w:val="00631C98"/>
    <w:rsid w:val="00632449"/>
    <w:rsid w:val="00632C95"/>
    <w:rsid w:val="00632D1A"/>
    <w:rsid w:val="006331D3"/>
    <w:rsid w:val="006340B6"/>
    <w:rsid w:val="0063423B"/>
    <w:rsid w:val="006342FF"/>
    <w:rsid w:val="00634444"/>
    <w:rsid w:val="006346BF"/>
    <w:rsid w:val="00636954"/>
    <w:rsid w:val="00636C4D"/>
    <w:rsid w:val="00636F3C"/>
    <w:rsid w:val="006374B0"/>
    <w:rsid w:val="00637819"/>
    <w:rsid w:val="00637D7A"/>
    <w:rsid w:val="00642D37"/>
    <w:rsid w:val="00642F78"/>
    <w:rsid w:val="006431D8"/>
    <w:rsid w:val="00643236"/>
    <w:rsid w:val="006440B3"/>
    <w:rsid w:val="0064414C"/>
    <w:rsid w:val="00644633"/>
    <w:rsid w:val="00646A83"/>
    <w:rsid w:val="0064720F"/>
    <w:rsid w:val="00647837"/>
    <w:rsid w:val="0065269E"/>
    <w:rsid w:val="00653F36"/>
    <w:rsid w:val="006552E8"/>
    <w:rsid w:val="00655A40"/>
    <w:rsid w:val="00655EC5"/>
    <w:rsid w:val="00656E58"/>
    <w:rsid w:val="00660755"/>
    <w:rsid w:val="00660CD0"/>
    <w:rsid w:val="00661EDC"/>
    <w:rsid w:val="00662069"/>
    <w:rsid w:val="0066367F"/>
    <w:rsid w:val="00663864"/>
    <w:rsid w:val="00664592"/>
    <w:rsid w:val="006656A3"/>
    <w:rsid w:val="0066601B"/>
    <w:rsid w:val="00667B3D"/>
    <w:rsid w:val="00670F5D"/>
    <w:rsid w:val="00671F5C"/>
    <w:rsid w:val="00672B37"/>
    <w:rsid w:val="006757C2"/>
    <w:rsid w:val="006771BC"/>
    <w:rsid w:val="006814D1"/>
    <w:rsid w:val="00682650"/>
    <w:rsid w:val="00682B60"/>
    <w:rsid w:val="00682FD1"/>
    <w:rsid w:val="00683A18"/>
    <w:rsid w:val="006841FA"/>
    <w:rsid w:val="00684376"/>
    <w:rsid w:val="0068494D"/>
    <w:rsid w:val="00684B84"/>
    <w:rsid w:val="00684E80"/>
    <w:rsid w:val="0068534D"/>
    <w:rsid w:val="006855E0"/>
    <w:rsid w:val="00692223"/>
    <w:rsid w:val="0069319F"/>
    <w:rsid w:val="00696E68"/>
    <w:rsid w:val="006A0717"/>
    <w:rsid w:val="006A0B07"/>
    <w:rsid w:val="006A151C"/>
    <w:rsid w:val="006A24B7"/>
    <w:rsid w:val="006A2B98"/>
    <w:rsid w:val="006A2EEB"/>
    <w:rsid w:val="006A33B3"/>
    <w:rsid w:val="006A3613"/>
    <w:rsid w:val="006A37C7"/>
    <w:rsid w:val="006A437F"/>
    <w:rsid w:val="006A5A82"/>
    <w:rsid w:val="006A6036"/>
    <w:rsid w:val="006B0F1C"/>
    <w:rsid w:val="006B1C72"/>
    <w:rsid w:val="006B2C17"/>
    <w:rsid w:val="006B3140"/>
    <w:rsid w:val="006B31D6"/>
    <w:rsid w:val="006B5634"/>
    <w:rsid w:val="006B5BA9"/>
    <w:rsid w:val="006B7167"/>
    <w:rsid w:val="006C1276"/>
    <w:rsid w:val="006C2BD9"/>
    <w:rsid w:val="006C2FC1"/>
    <w:rsid w:val="006C3475"/>
    <w:rsid w:val="006C4052"/>
    <w:rsid w:val="006C43F2"/>
    <w:rsid w:val="006C4B92"/>
    <w:rsid w:val="006C64F8"/>
    <w:rsid w:val="006C6612"/>
    <w:rsid w:val="006C69A9"/>
    <w:rsid w:val="006C6F6B"/>
    <w:rsid w:val="006D1B84"/>
    <w:rsid w:val="006D2ABC"/>
    <w:rsid w:val="006D45B6"/>
    <w:rsid w:val="006D703E"/>
    <w:rsid w:val="006D77F1"/>
    <w:rsid w:val="006D7CBC"/>
    <w:rsid w:val="006E00A3"/>
    <w:rsid w:val="006E09F2"/>
    <w:rsid w:val="006E179E"/>
    <w:rsid w:val="006E1C54"/>
    <w:rsid w:val="006E25A5"/>
    <w:rsid w:val="006E2F66"/>
    <w:rsid w:val="006E3FEF"/>
    <w:rsid w:val="006E4B99"/>
    <w:rsid w:val="006E4F08"/>
    <w:rsid w:val="006E5646"/>
    <w:rsid w:val="006E6142"/>
    <w:rsid w:val="006E659A"/>
    <w:rsid w:val="006E6BAE"/>
    <w:rsid w:val="006F2D5A"/>
    <w:rsid w:val="006F2DB3"/>
    <w:rsid w:val="006F36A9"/>
    <w:rsid w:val="006F4DE3"/>
    <w:rsid w:val="006F58A6"/>
    <w:rsid w:val="006F651D"/>
    <w:rsid w:val="006F6776"/>
    <w:rsid w:val="00702655"/>
    <w:rsid w:val="00705259"/>
    <w:rsid w:val="0070546D"/>
    <w:rsid w:val="00705D4E"/>
    <w:rsid w:val="00705DFD"/>
    <w:rsid w:val="0070654A"/>
    <w:rsid w:val="007067BD"/>
    <w:rsid w:val="00707926"/>
    <w:rsid w:val="00711791"/>
    <w:rsid w:val="00711E81"/>
    <w:rsid w:val="00712007"/>
    <w:rsid w:val="00713CD9"/>
    <w:rsid w:val="00713E52"/>
    <w:rsid w:val="00714E47"/>
    <w:rsid w:val="00715048"/>
    <w:rsid w:val="00715395"/>
    <w:rsid w:val="0071557D"/>
    <w:rsid w:val="007160DA"/>
    <w:rsid w:val="00721AC0"/>
    <w:rsid w:val="00721B65"/>
    <w:rsid w:val="00722890"/>
    <w:rsid w:val="00726595"/>
    <w:rsid w:val="00726D70"/>
    <w:rsid w:val="007272DA"/>
    <w:rsid w:val="00727B0A"/>
    <w:rsid w:val="00731C35"/>
    <w:rsid w:val="00731EBF"/>
    <w:rsid w:val="007344E7"/>
    <w:rsid w:val="0073637B"/>
    <w:rsid w:val="0073743D"/>
    <w:rsid w:val="00740341"/>
    <w:rsid w:val="0074053C"/>
    <w:rsid w:val="00740909"/>
    <w:rsid w:val="00740B3B"/>
    <w:rsid w:val="007415CC"/>
    <w:rsid w:val="007421FD"/>
    <w:rsid w:val="00742676"/>
    <w:rsid w:val="0074340C"/>
    <w:rsid w:val="0074394D"/>
    <w:rsid w:val="00745606"/>
    <w:rsid w:val="00745E3A"/>
    <w:rsid w:val="00745E4E"/>
    <w:rsid w:val="007462AC"/>
    <w:rsid w:val="00746E7E"/>
    <w:rsid w:val="00746F54"/>
    <w:rsid w:val="007470E9"/>
    <w:rsid w:val="00747CD7"/>
    <w:rsid w:val="00750A91"/>
    <w:rsid w:val="00750B7E"/>
    <w:rsid w:val="00750EA8"/>
    <w:rsid w:val="00751182"/>
    <w:rsid w:val="007523EF"/>
    <w:rsid w:val="00752505"/>
    <w:rsid w:val="007526BD"/>
    <w:rsid w:val="00753227"/>
    <w:rsid w:val="00753538"/>
    <w:rsid w:val="007542B4"/>
    <w:rsid w:val="00761CB1"/>
    <w:rsid w:val="00762390"/>
    <w:rsid w:val="007623C1"/>
    <w:rsid w:val="00762F30"/>
    <w:rsid w:val="007638B8"/>
    <w:rsid w:val="007639FE"/>
    <w:rsid w:val="00765E21"/>
    <w:rsid w:val="00766427"/>
    <w:rsid w:val="00766481"/>
    <w:rsid w:val="00766715"/>
    <w:rsid w:val="00766795"/>
    <w:rsid w:val="00766F28"/>
    <w:rsid w:val="0077069E"/>
    <w:rsid w:val="007706EB"/>
    <w:rsid w:val="007716E1"/>
    <w:rsid w:val="0077376A"/>
    <w:rsid w:val="00773EDE"/>
    <w:rsid w:val="007741AB"/>
    <w:rsid w:val="0077441E"/>
    <w:rsid w:val="00774471"/>
    <w:rsid w:val="00774524"/>
    <w:rsid w:val="007751A6"/>
    <w:rsid w:val="00775DA4"/>
    <w:rsid w:val="00777068"/>
    <w:rsid w:val="007778A6"/>
    <w:rsid w:val="0078187C"/>
    <w:rsid w:val="00781AC7"/>
    <w:rsid w:val="0078369C"/>
    <w:rsid w:val="00783F59"/>
    <w:rsid w:val="00785C51"/>
    <w:rsid w:val="00786EB8"/>
    <w:rsid w:val="00787532"/>
    <w:rsid w:val="00794386"/>
    <w:rsid w:val="00794559"/>
    <w:rsid w:val="007950C1"/>
    <w:rsid w:val="007954AF"/>
    <w:rsid w:val="0079564E"/>
    <w:rsid w:val="007975F6"/>
    <w:rsid w:val="007979CC"/>
    <w:rsid w:val="007A1039"/>
    <w:rsid w:val="007A1951"/>
    <w:rsid w:val="007A2F53"/>
    <w:rsid w:val="007A311C"/>
    <w:rsid w:val="007A333F"/>
    <w:rsid w:val="007A33BD"/>
    <w:rsid w:val="007A379D"/>
    <w:rsid w:val="007A4344"/>
    <w:rsid w:val="007A4557"/>
    <w:rsid w:val="007A6A8E"/>
    <w:rsid w:val="007A7859"/>
    <w:rsid w:val="007A7EB5"/>
    <w:rsid w:val="007B0E49"/>
    <w:rsid w:val="007B164E"/>
    <w:rsid w:val="007B302A"/>
    <w:rsid w:val="007B40DA"/>
    <w:rsid w:val="007B5D0D"/>
    <w:rsid w:val="007B6CD9"/>
    <w:rsid w:val="007B78A8"/>
    <w:rsid w:val="007C0148"/>
    <w:rsid w:val="007C1018"/>
    <w:rsid w:val="007C1292"/>
    <w:rsid w:val="007C1881"/>
    <w:rsid w:val="007C41D8"/>
    <w:rsid w:val="007C52BC"/>
    <w:rsid w:val="007C53BB"/>
    <w:rsid w:val="007C5FC8"/>
    <w:rsid w:val="007C6892"/>
    <w:rsid w:val="007C73C4"/>
    <w:rsid w:val="007C7D10"/>
    <w:rsid w:val="007D27C6"/>
    <w:rsid w:val="007D293B"/>
    <w:rsid w:val="007D2E78"/>
    <w:rsid w:val="007D3708"/>
    <w:rsid w:val="007D3E08"/>
    <w:rsid w:val="007D405A"/>
    <w:rsid w:val="007D5180"/>
    <w:rsid w:val="007D51CF"/>
    <w:rsid w:val="007D5221"/>
    <w:rsid w:val="007D53A8"/>
    <w:rsid w:val="007D7DDC"/>
    <w:rsid w:val="007E02A9"/>
    <w:rsid w:val="007E0656"/>
    <w:rsid w:val="007E14F8"/>
    <w:rsid w:val="007E44BA"/>
    <w:rsid w:val="007E4AC4"/>
    <w:rsid w:val="007E50DA"/>
    <w:rsid w:val="007E50E9"/>
    <w:rsid w:val="007F0BF6"/>
    <w:rsid w:val="007F115E"/>
    <w:rsid w:val="007F14FB"/>
    <w:rsid w:val="007F23AE"/>
    <w:rsid w:val="007F2410"/>
    <w:rsid w:val="007F287E"/>
    <w:rsid w:val="007F44D8"/>
    <w:rsid w:val="007F79E8"/>
    <w:rsid w:val="008000C8"/>
    <w:rsid w:val="00800CF3"/>
    <w:rsid w:val="008016CC"/>
    <w:rsid w:val="00804A07"/>
    <w:rsid w:val="008051DD"/>
    <w:rsid w:val="00805317"/>
    <w:rsid w:val="00807978"/>
    <w:rsid w:val="00807B80"/>
    <w:rsid w:val="00810DF8"/>
    <w:rsid w:val="008110B8"/>
    <w:rsid w:val="008126BD"/>
    <w:rsid w:val="008134B2"/>
    <w:rsid w:val="0081361F"/>
    <w:rsid w:val="008145B4"/>
    <w:rsid w:val="00814ADA"/>
    <w:rsid w:val="008160C1"/>
    <w:rsid w:val="00816C0F"/>
    <w:rsid w:val="00816C62"/>
    <w:rsid w:val="008218FC"/>
    <w:rsid w:val="00821A97"/>
    <w:rsid w:val="00822A04"/>
    <w:rsid w:val="00822E6E"/>
    <w:rsid w:val="00824003"/>
    <w:rsid w:val="00826822"/>
    <w:rsid w:val="00826A1A"/>
    <w:rsid w:val="00827117"/>
    <w:rsid w:val="00827B91"/>
    <w:rsid w:val="00830108"/>
    <w:rsid w:val="008301AC"/>
    <w:rsid w:val="00830D89"/>
    <w:rsid w:val="00833F6F"/>
    <w:rsid w:val="008349F5"/>
    <w:rsid w:val="00834D90"/>
    <w:rsid w:val="00835BCA"/>
    <w:rsid w:val="00837B50"/>
    <w:rsid w:val="00840640"/>
    <w:rsid w:val="0084112E"/>
    <w:rsid w:val="00841882"/>
    <w:rsid w:val="00842135"/>
    <w:rsid w:val="008425D0"/>
    <w:rsid w:val="008437BC"/>
    <w:rsid w:val="0084409F"/>
    <w:rsid w:val="008446F3"/>
    <w:rsid w:val="0084553A"/>
    <w:rsid w:val="008476F4"/>
    <w:rsid w:val="00847C36"/>
    <w:rsid w:val="008517E2"/>
    <w:rsid w:val="00852163"/>
    <w:rsid w:val="00852BCB"/>
    <w:rsid w:val="00852BD6"/>
    <w:rsid w:val="008532C7"/>
    <w:rsid w:val="008538A8"/>
    <w:rsid w:val="00853A8F"/>
    <w:rsid w:val="008550A4"/>
    <w:rsid w:val="00857705"/>
    <w:rsid w:val="00857EAD"/>
    <w:rsid w:val="00860C3D"/>
    <w:rsid w:val="0086189C"/>
    <w:rsid w:val="00861BB5"/>
    <w:rsid w:val="008626ED"/>
    <w:rsid w:val="00862927"/>
    <w:rsid w:val="008638E7"/>
    <w:rsid w:val="00863B93"/>
    <w:rsid w:val="00865315"/>
    <w:rsid w:val="00866FB4"/>
    <w:rsid w:val="008675A7"/>
    <w:rsid w:val="00870A43"/>
    <w:rsid w:val="00871F2D"/>
    <w:rsid w:val="008738CE"/>
    <w:rsid w:val="00874199"/>
    <w:rsid w:val="00874D80"/>
    <w:rsid w:val="00874DC6"/>
    <w:rsid w:val="00874E14"/>
    <w:rsid w:val="00874F03"/>
    <w:rsid w:val="008751F4"/>
    <w:rsid w:val="0087551D"/>
    <w:rsid w:val="00875ABA"/>
    <w:rsid w:val="00876C0C"/>
    <w:rsid w:val="00880741"/>
    <w:rsid w:val="00881209"/>
    <w:rsid w:val="008818BC"/>
    <w:rsid w:val="00883347"/>
    <w:rsid w:val="008842F3"/>
    <w:rsid w:val="00885DE5"/>
    <w:rsid w:val="00886F54"/>
    <w:rsid w:val="008871AA"/>
    <w:rsid w:val="008910EC"/>
    <w:rsid w:val="0089166E"/>
    <w:rsid w:val="00892C57"/>
    <w:rsid w:val="00892EBB"/>
    <w:rsid w:val="00892EEE"/>
    <w:rsid w:val="00893C0F"/>
    <w:rsid w:val="008957BA"/>
    <w:rsid w:val="00895C6E"/>
    <w:rsid w:val="00896F79"/>
    <w:rsid w:val="0089749F"/>
    <w:rsid w:val="00897D2C"/>
    <w:rsid w:val="008A29C2"/>
    <w:rsid w:val="008A35E9"/>
    <w:rsid w:val="008A37D3"/>
    <w:rsid w:val="008A3959"/>
    <w:rsid w:val="008A4694"/>
    <w:rsid w:val="008A572E"/>
    <w:rsid w:val="008A752E"/>
    <w:rsid w:val="008B15FB"/>
    <w:rsid w:val="008B25EF"/>
    <w:rsid w:val="008B2938"/>
    <w:rsid w:val="008B5727"/>
    <w:rsid w:val="008C092F"/>
    <w:rsid w:val="008C0BB1"/>
    <w:rsid w:val="008C19EB"/>
    <w:rsid w:val="008C1FC7"/>
    <w:rsid w:val="008C23BC"/>
    <w:rsid w:val="008C499F"/>
    <w:rsid w:val="008C4DA0"/>
    <w:rsid w:val="008C7B9A"/>
    <w:rsid w:val="008D076E"/>
    <w:rsid w:val="008D07A7"/>
    <w:rsid w:val="008D1463"/>
    <w:rsid w:val="008D1828"/>
    <w:rsid w:val="008D1D9D"/>
    <w:rsid w:val="008D22E3"/>
    <w:rsid w:val="008D2E95"/>
    <w:rsid w:val="008D3ABF"/>
    <w:rsid w:val="008D444E"/>
    <w:rsid w:val="008D4817"/>
    <w:rsid w:val="008D507F"/>
    <w:rsid w:val="008D5108"/>
    <w:rsid w:val="008D55B9"/>
    <w:rsid w:val="008D5A87"/>
    <w:rsid w:val="008D5EB9"/>
    <w:rsid w:val="008D6B56"/>
    <w:rsid w:val="008D7317"/>
    <w:rsid w:val="008E00E8"/>
    <w:rsid w:val="008E1C34"/>
    <w:rsid w:val="008E2149"/>
    <w:rsid w:val="008E2209"/>
    <w:rsid w:val="008E24F8"/>
    <w:rsid w:val="008E3278"/>
    <w:rsid w:val="008E4DBD"/>
    <w:rsid w:val="008E57CA"/>
    <w:rsid w:val="008E67CB"/>
    <w:rsid w:val="008E7615"/>
    <w:rsid w:val="008F0227"/>
    <w:rsid w:val="008F0787"/>
    <w:rsid w:val="008F08CE"/>
    <w:rsid w:val="008F145C"/>
    <w:rsid w:val="008F1884"/>
    <w:rsid w:val="008F3296"/>
    <w:rsid w:val="008F3515"/>
    <w:rsid w:val="008F3ABA"/>
    <w:rsid w:val="008F4430"/>
    <w:rsid w:val="008F5541"/>
    <w:rsid w:val="008F7548"/>
    <w:rsid w:val="00900371"/>
    <w:rsid w:val="00904120"/>
    <w:rsid w:val="00905355"/>
    <w:rsid w:val="0090563A"/>
    <w:rsid w:val="0090595B"/>
    <w:rsid w:val="00907825"/>
    <w:rsid w:val="00911A37"/>
    <w:rsid w:val="0091598B"/>
    <w:rsid w:val="00915DE0"/>
    <w:rsid w:val="0091724B"/>
    <w:rsid w:val="00917359"/>
    <w:rsid w:val="00917CA2"/>
    <w:rsid w:val="00920B92"/>
    <w:rsid w:val="00921ACE"/>
    <w:rsid w:val="009228E8"/>
    <w:rsid w:val="00922FA5"/>
    <w:rsid w:val="009235FF"/>
    <w:rsid w:val="00924CB6"/>
    <w:rsid w:val="00925C2C"/>
    <w:rsid w:val="00926214"/>
    <w:rsid w:val="0092754D"/>
    <w:rsid w:val="00927CD4"/>
    <w:rsid w:val="0093085A"/>
    <w:rsid w:val="00930C4A"/>
    <w:rsid w:val="00931B63"/>
    <w:rsid w:val="00933A4B"/>
    <w:rsid w:val="00933DEC"/>
    <w:rsid w:val="00933E83"/>
    <w:rsid w:val="0093697B"/>
    <w:rsid w:val="00936F3A"/>
    <w:rsid w:val="009378AA"/>
    <w:rsid w:val="00937C0B"/>
    <w:rsid w:val="00940109"/>
    <w:rsid w:val="00940966"/>
    <w:rsid w:val="00940D50"/>
    <w:rsid w:val="00942C95"/>
    <w:rsid w:val="009438E1"/>
    <w:rsid w:val="00944958"/>
    <w:rsid w:val="00944E06"/>
    <w:rsid w:val="00946D78"/>
    <w:rsid w:val="00947C75"/>
    <w:rsid w:val="0095022D"/>
    <w:rsid w:val="0095031B"/>
    <w:rsid w:val="00950AC3"/>
    <w:rsid w:val="00951167"/>
    <w:rsid w:val="009514B0"/>
    <w:rsid w:val="00951E4A"/>
    <w:rsid w:val="00952844"/>
    <w:rsid w:val="009536A2"/>
    <w:rsid w:val="009539B9"/>
    <w:rsid w:val="00953F84"/>
    <w:rsid w:val="0095465F"/>
    <w:rsid w:val="009557C0"/>
    <w:rsid w:val="009566AC"/>
    <w:rsid w:val="009566FC"/>
    <w:rsid w:val="00956871"/>
    <w:rsid w:val="009576B8"/>
    <w:rsid w:val="0096062F"/>
    <w:rsid w:val="00960999"/>
    <w:rsid w:val="00962EB4"/>
    <w:rsid w:val="0096369D"/>
    <w:rsid w:val="00964176"/>
    <w:rsid w:val="0096442A"/>
    <w:rsid w:val="00965E27"/>
    <w:rsid w:val="0096657D"/>
    <w:rsid w:val="00966F73"/>
    <w:rsid w:val="00966FFA"/>
    <w:rsid w:val="009672FA"/>
    <w:rsid w:val="00970BD5"/>
    <w:rsid w:val="009713F3"/>
    <w:rsid w:val="00971B4B"/>
    <w:rsid w:val="00975643"/>
    <w:rsid w:val="00975A0A"/>
    <w:rsid w:val="009774F0"/>
    <w:rsid w:val="00977C2B"/>
    <w:rsid w:val="00981109"/>
    <w:rsid w:val="00982428"/>
    <w:rsid w:val="0098255D"/>
    <w:rsid w:val="0098310F"/>
    <w:rsid w:val="00983897"/>
    <w:rsid w:val="00984E6D"/>
    <w:rsid w:val="009860A0"/>
    <w:rsid w:val="0098622B"/>
    <w:rsid w:val="0098624F"/>
    <w:rsid w:val="00986C51"/>
    <w:rsid w:val="00987693"/>
    <w:rsid w:val="00990E39"/>
    <w:rsid w:val="009916B0"/>
    <w:rsid w:val="00992058"/>
    <w:rsid w:val="00992BDD"/>
    <w:rsid w:val="009930CE"/>
    <w:rsid w:val="0099596C"/>
    <w:rsid w:val="00995FB6"/>
    <w:rsid w:val="00997B1A"/>
    <w:rsid w:val="009A0064"/>
    <w:rsid w:val="009A00B9"/>
    <w:rsid w:val="009A013E"/>
    <w:rsid w:val="009A077F"/>
    <w:rsid w:val="009A2322"/>
    <w:rsid w:val="009A2B0D"/>
    <w:rsid w:val="009A5FD1"/>
    <w:rsid w:val="009A6ABF"/>
    <w:rsid w:val="009B006F"/>
    <w:rsid w:val="009B0419"/>
    <w:rsid w:val="009B0818"/>
    <w:rsid w:val="009B1E56"/>
    <w:rsid w:val="009B20D1"/>
    <w:rsid w:val="009B31CC"/>
    <w:rsid w:val="009B3A3E"/>
    <w:rsid w:val="009B3E1C"/>
    <w:rsid w:val="009B57E2"/>
    <w:rsid w:val="009B5CAB"/>
    <w:rsid w:val="009B6A81"/>
    <w:rsid w:val="009C1018"/>
    <w:rsid w:val="009C1498"/>
    <w:rsid w:val="009C33ED"/>
    <w:rsid w:val="009C351E"/>
    <w:rsid w:val="009C483F"/>
    <w:rsid w:val="009C48D2"/>
    <w:rsid w:val="009C535F"/>
    <w:rsid w:val="009C679F"/>
    <w:rsid w:val="009D016C"/>
    <w:rsid w:val="009D0212"/>
    <w:rsid w:val="009D1670"/>
    <w:rsid w:val="009D1E28"/>
    <w:rsid w:val="009D39BE"/>
    <w:rsid w:val="009D46FC"/>
    <w:rsid w:val="009D5963"/>
    <w:rsid w:val="009D5A34"/>
    <w:rsid w:val="009D771B"/>
    <w:rsid w:val="009E1CB6"/>
    <w:rsid w:val="009E20A0"/>
    <w:rsid w:val="009E2829"/>
    <w:rsid w:val="009E2E08"/>
    <w:rsid w:val="009E3293"/>
    <w:rsid w:val="009E3617"/>
    <w:rsid w:val="009E3A6C"/>
    <w:rsid w:val="009E415F"/>
    <w:rsid w:val="009E573B"/>
    <w:rsid w:val="009E5811"/>
    <w:rsid w:val="009E6811"/>
    <w:rsid w:val="009E691B"/>
    <w:rsid w:val="009F0A4E"/>
    <w:rsid w:val="009F291F"/>
    <w:rsid w:val="009F298D"/>
    <w:rsid w:val="009F3CD7"/>
    <w:rsid w:val="009F5A79"/>
    <w:rsid w:val="009F68D3"/>
    <w:rsid w:val="009F7BAD"/>
    <w:rsid w:val="009F7F08"/>
    <w:rsid w:val="00A018E3"/>
    <w:rsid w:val="00A02084"/>
    <w:rsid w:val="00A0464D"/>
    <w:rsid w:val="00A04F8E"/>
    <w:rsid w:val="00A06E8F"/>
    <w:rsid w:val="00A07894"/>
    <w:rsid w:val="00A0791A"/>
    <w:rsid w:val="00A07AE7"/>
    <w:rsid w:val="00A07D04"/>
    <w:rsid w:val="00A10328"/>
    <w:rsid w:val="00A1038F"/>
    <w:rsid w:val="00A11012"/>
    <w:rsid w:val="00A12224"/>
    <w:rsid w:val="00A12F11"/>
    <w:rsid w:val="00A13185"/>
    <w:rsid w:val="00A131B1"/>
    <w:rsid w:val="00A13847"/>
    <w:rsid w:val="00A14817"/>
    <w:rsid w:val="00A14B8D"/>
    <w:rsid w:val="00A1590F"/>
    <w:rsid w:val="00A17178"/>
    <w:rsid w:val="00A17247"/>
    <w:rsid w:val="00A17401"/>
    <w:rsid w:val="00A17507"/>
    <w:rsid w:val="00A17BA0"/>
    <w:rsid w:val="00A2096E"/>
    <w:rsid w:val="00A2167D"/>
    <w:rsid w:val="00A23777"/>
    <w:rsid w:val="00A243CD"/>
    <w:rsid w:val="00A25FBB"/>
    <w:rsid w:val="00A27028"/>
    <w:rsid w:val="00A27D7E"/>
    <w:rsid w:val="00A302FE"/>
    <w:rsid w:val="00A30DF5"/>
    <w:rsid w:val="00A30EB6"/>
    <w:rsid w:val="00A3297B"/>
    <w:rsid w:val="00A32D93"/>
    <w:rsid w:val="00A34B64"/>
    <w:rsid w:val="00A35941"/>
    <w:rsid w:val="00A36B1E"/>
    <w:rsid w:val="00A36F9A"/>
    <w:rsid w:val="00A37948"/>
    <w:rsid w:val="00A37CE5"/>
    <w:rsid w:val="00A4045F"/>
    <w:rsid w:val="00A40A6B"/>
    <w:rsid w:val="00A40FB2"/>
    <w:rsid w:val="00A42531"/>
    <w:rsid w:val="00A42BD9"/>
    <w:rsid w:val="00A45718"/>
    <w:rsid w:val="00A470FD"/>
    <w:rsid w:val="00A4745F"/>
    <w:rsid w:val="00A47BDC"/>
    <w:rsid w:val="00A504A0"/>
    <w:rsid w:val="00A5058D"/>
    <w:rsid w:val="00A50D3A"/>
    <w:rsid w:val="00A51C70"/>
    <w:rsid w:val="00A5307B"/>
    <w:rsid w:val="00A53579"/>
    <w:rsid w:val="00A54006"/>
    <w:rsid w:val="00A54026"/>
    <w:rsid w:val="00A54424"/>
    <w:rsid w:val="00A5465F"/>
    <w:rsid w:val="00A548EF"/>
    <w:rsid w:val="00A553CF"/>
    <w:rsid w:val="00A60E22"/>
    <w:rsid w:val="00A6144F"/>
    <w:rsid w:val="00A62197"/>
    <w:rsid w:val="00A62974"/>
    <w:rsid w:val="00A66675"/>
    <w:rsid w:val="00A717A9"/>
    <w:rsid w:val="00A73335"/>
    <w:rsid w:val="00A7396F"/>
    <w:rsid w:val="00A73A99"/>
    <w:rsid w:val="00A753FE"/>
    <w:rsid w:val="00A75F09"/>
    <w:rsid w:val="00A77195"/>
    <w:rsid w:val="00A7724F"/>
    <w:rsid w:val="00A80A3E"/>
    <w:rsid w:val="00A8186C"/>
    <w:rsid w:val="00A81889"/>
    <w:rsid w:val="00A81C25"/>
    <w:rsid w:val="00A82127"/>
    <w:rsid w:val="00A8214A"/>
    <w:rsid w:val="00A825B5"/>
    <w:rsid w:val="00A83CF8"/>
    <w:rsid w:val="00A86824"/>
    <w:rsid w:val="00A87098"/>
    <w:rsid w:val="00A94AC2"/>
    <w:rsid w:val="00A97A55"/>
    <w:rsid w:val="00AA0917"/>
    <w:rsid w:val="00AA3750"/>
    <w:rsid w:val="00AA3C24"/>
    <w:rsid w:val="00AA51A4"/>
    <w:rsid w:val="00AA6241"/>
    <w:rsid w:val="00AA6B07"/>
    <w:rsid w:val="00AA6EEC"/>
    <w:rsid w:val="00AB02A0"/>
    <w:rsid w:val="00AB147E"/>
    <w:rsid w:val="00AB3191"/>
    <w:rsid w:val="00AB3783"/>
    <w:rsid w:val="00AB4072"/>
    <w:rsid w:val="00AB46B5"/>
    <w:rsid w:val="00AB56CF"/>
    <w:rsid w:val="00AB704D"/>
    <w:rsid w:val="00AB7B75"/>
    <w:rsid w:val="00AC11A1"/>
    <w:rsid w:val="00AC1288"/>
    <w:rsid w:val="00AC1F24"/>
    <w:rsid w:val="00AC309D"/>
    <w:rsid w:val="00AC3D7F"/>
    <w:rsid w:val="00AC42A7"/>
    <w:rsid w:val="00AC5482"/>
    <w:rsid w:val="00AC5C5B"/>
    <w:rsid w:val="00AC62F5"/>
    <w:rsid w:val="00AC6AD5"/>
    <w:rsid w:val="00AC6EDD"/>
    <w:rsid w:val="00AD0000"/>
    <w:rsid w:val="00AD08E8"/>
    <w:rsid w:val="00AD0A69"/>
    <w:rsid w:val="00AD1924"/>
    <w:rsid w:val="00AD22E9"/>
    <w:rsid w:val="00AD4255"/>
    <w:rsid w:val="00AD42EA"/>
    <w:rsid w:val="00AD4A97"/>
    <w:rsid w:val="00AD540A"/>
    <w:rsid w:val="00AD5D85"/>
    <w:rsid w:val="00AD6324"/>
    <w:rsid w:val="00AD6DF9"/>
    <w:rsid w:val="00AD7778"/>
    <w:rsid w:val="00AE08F2"/>
    <w:rsid w:val="00AE116F"/>
    <w:rsid w:val="00AE12B3"/>
    <w:rsid w:val="00AE1666"/>
    <w:rsid w:val="00AE34B1"/>
    <w:rsid w:val="00AE4DF0"/>
    <w:rsid w:val="00AE6787"/>
    <w:rsid w:val="00AE6A20"/>
    <w:rsid w:val="00AE6DCC"/>
    <w:rsid w:val="00AE6F92"/>
    <w:rsid w:val="00AE77D0"/>
    <w:rsid w:val="00AE7B2D"/>
    <w:rsid w:val="00AF0D19"/>
    <w:rsid w:val="00AF0E83"/>
    <w:rsid w:val="00AF0F72"/>
    <w:rsid w:val="00AF17CC"/>
    <w:rsid w:val="00AF24A7"/>
    <w:rsid w:val="00AF38D6"/>
    <w:rsid w:val="00AF583B"/>
    <w:rsid w:val="00AF61A0"/>
    <w:rsid w:val="00AF7306"/>
    <w:rsid w:val="00AF7309"/>
    <w:rsid w:val="00AF7708"/>
    <w:rsid w:val="00AF7EEA"/>
    <w:rsid w:val="00B00677"/>
    <w:rsid w:val="00B00EA4"/>
    <w:rsid w:val="00B01218"/>
    <w:rsid w:val="00B01B58"/>
    <w:rsid w:val="00B01FA6"/>
    <w:rsid w:val="00B0216C"/>
    <w:rsid w:val="00B04169"/>
    <w:rsid w:val="00B069DE"/>
    <w:rsid w:val="00B06EE0"/>
    <w:rsid w:val="00B0765C"/>
    <w:rsid w:val="00B07C43"/>
    <w:rsid w:val="00B101C4"/>
    <w:rsid w:val="00B10D76"/>
    <w:rsid w:val="00B10E21"/>
    <w:rsid w:val="00B12554"/>
    <w:rsid w:val="00B12F30"/>
    <w:rsid w:val="00B1360B"/>
    <w:rsid w:val="00B13DB9"/>
    <w:rsid w:val="00B1479A"/>
    <w:rsid w:val="00B14C90"/>
    <w:rsid w:val="00B14E24"/>
    <w:rsid w:val="00B20FE0"/>
    <w:rsid w:val="00B21F27"/>
    <w:rsid w:val="00B22620"/>
    <w:rsid w:val="00B23B6E"/>
    <w:rsid w:val="00B24303"/>
    <w:rsid w:val="00B245D3"/>
    <w:rsid w:val="00B25777"/>
    <w:rsid w:val="00B25ACF"/>
    <w:rsid w:val="00B26990"/>
    <w:rsid w:val="00B30490"/>
    <w:rsid w:val="00B32B04"/>
    <w:rsid w:val="00B32DA2"/>
    <w:rsid w:val="00B3377F"/>
    <w:rsid w:val="00B34AD0"/>
    <w:rsid w:val="00B353DB"/>
    <w:rsid w:val="00B35BC3"/>
    <w:rsid w:val="00B36443"/>
    <w:rsid w:val="00B365AD"/>
    <w:rsid w:val="00B36CD6"/>
    <w:rsid w:val="00B372C4"/>
    <w:rsid w:val="00B40A5A"/>
    <w:rsid w:val="00B40B6E"/>
    <w:rsid w:val="00B41467"/>
    <w:rsid w:val="00B417FD"/>
    <w:rsid w:val="00B41D30"/>
    <w:rsid w:val="00B44700"/>
    <w:rsid w:val="00B4572E"/>
    <w:rsid w:val="00B46177"/>
    <w:rsid w:val="00B46DAB"/>
    <w:rsid w:val="00B475F7"/>
    <w:rsid w:val="00B5077E"/>
    <w:rsid w:val="00B50CDC"/>
    <w:rsid w:val="00B548DB"/>
    <w:rsid w:val="00B5509F"/>
    <w:rsid w:val="00B55A73"/>
    <w:rsid w:val="00B56EBE"/>
    <w:rsid w:val="00B579D3"/>
    <w:rsid w:val="00B60355"/>
    <w:rsid w:val="00B61410"/>
    <w:rsid w:val="00B61DAA"/>
    <w:rsid w:val="00B61F33"/>
    <w:rsid w:val="00B627CB"/>
    <w:rsid w:val="00B63427"/>
    <w:rsid w:val="00B64C63"/>
    <w:rsid w:val="00B65944"/>
    <w:rsid w:val="00B661BA"/>
    <w:rsid w:val="00B7082D"/>
    <w:rsid w:val="00B70F66"/>
    <w:rsid w:val="00B7216A"/>
    <w:rsid w:val="00B735C3"/>
    <w:rsid w:val="00B73E0A"/>
    <w:rsid w:val="00B74370"/>
    <w:rsid w:val="00B77134"/>
    <w:rsid w:val="00B77263"/>
    <w:rsid w:val="00B77FC9"/>
    <w:rsid w:val="00B831BC"/>
    <w:rsid w:val="00B83330"/>
    <w:rsid w:val="00B83C3F"/>
    <w:rsid w:val="00B84BEF"/>
    <w:rsid w:val="00B85437"/>
    <w:rsid w:val="00B85AAC"/>
    <w:rsid w:val="00B85AE8"/>
    <w:rsid w:val="00B85ECE"/>
    <w:rsid w:val="00B8634B"/>
    <w:rsid w:val="00B90779"/>
    <w:rsid w:val="00B90BA0"/>
    <w:rsid w:val="00B91B18"/>
    <w:rsid w:val="00B91E8E"/>
    <w:rsid w:val="00B93218"/>
    <w:rsid w:val="00B93760"/>
    <w:rsid w:val="00B93B68"/>
    <w:rsid w:val="00B9530D"/>
    <w:rsid w:val="00B95416"/>
    <w:rsid w:val="00B95FA8"/>
    <w:rsid w:val="00B96014"/>
    <w:rsid w:val="00B973C1"/>
    <w:rsid w:val="00BA0672"/>
    <w:rsid w:val="00BA0C1A"/>
    <w:rsid w:val="00BA1C78"/>
    <w:rsid w:val="00BA2B2D"/>
    <w:rsid w:val="00BA2BE1"/>
    <w:rsid w:val="00BA4353"/>
    <w:rsid w:val="00BA4833"/>
    <w:rsid w:val="00BA588C"/>
    <w:rsid w:val="00BA61A9"/>
    <w:rsid w:val="00BA7D62"/>
    <w:rsid w:val="00BB05AB"/>
    <w:rsid w:val="00BB099B"/>
    <w:rsid w:val="00BB2499"/>
    <w:rsid w:val="00BB314B"/>
    <w:rsid w:val="00BB374E"/>
    <w:rsid w:val="00BB3B76"/>
    <w:rsid w:val="00BB46CC"/>
    <w:rsid w:val="00BB54BB"/>
    <w:rsid w:val="00BB5AB2"/>
    <w:rsid w:val="00BB6E8B"/>
    <w:rsid w:val="00BC04B5"/>
    <w:rsid w:val="00BC04FA"/>
    <w:rsid w:val="00BC0F29"/>
    <w:rsid w:val="00BC308F"/>
    <w:rsid w:val="00BC4B25"/>
    <w:rsid w:val="00BC5EEA"/>
    <w:rsid w:val="00BC7744"/>
    <w:rsid w:val="00BD117B"/>
    <w:rsid w:val="00BD17FB"/>
    <w:rsid w:val="00BD1E2F"/>
    <w:rsid w:val="00BD1FCF"/>
    <w:rsid w:val="00BD3766"/>
    <w:rsid w:val="00BD5457"/>
    <w:rsid w:val="00BE0B3B"/>
    <w:rsid w:val="00BE1848"/>
    <w:rsid w:val="00BE3437"/>
    <w:rsid w:val="00BE3E01"/>
    <w:rsid w:val="00BE423D"/>
    <w:rsid w:val="00BE44E2"/>
    <w:rsid w:val="00BE544C"/>
    <w:rsid w:val="00BE5494"/>
    <w:rsid w:val="00BE65A5"/>
    <w:rsid w:val="00BE7A6C"/>
    <w:rsid w:val="00BF0BB5"/>
    <w:rsid w:val="00BF1305"/>
    <w:rsid w:val="00BF15A2"/>
    <w:rsid w:val="00BF2E9F"/>
    <w:rsid w:val="00BF3DAC"/>
    <w:rsid w:val="00BF7413"/>
    <w:rsid w:val="00C001E0"/>
    <w:rsid w:val="00C00D50"/>
    <w:rsid w:val="00C0261C"/>
    <w:rsid w:val="00C02681"/>
    <w:rsid w:val="00C02FF1"/>
    <w:rsid w:val="00C03018"/>
    <w:rsid w:val="00C03A3C"/>
    <w:rsid w:val="00C03F7C"/>
    <w:rsid w:val="00C04447"/>
    <w:rsid w:val="00C05572"/>
    <w:rsid w:val="00C058C9"/>
    <w:rsid w:val="00C05EA9"/>
    <w:rsid w:val="00C06159"/>
    <w:rsid w:val="00C066F6"/>
    <w:rsid w:val="00C07443"/>
    <w:rsid w:val="00C07EF0"/>
    <w:rsid w:val="00C1095C"/>
    <w:rsid w:val="00C10E90"/>
    <w:rsid w:val="00C1136F"/>
    <w:rsid w:val="00C129A8"/>
    <w:rsid w:val="00C13344"/>
    <w:rsid w:val="00C16675"/>
    <w:rsid w:val="00C17337"/>
    <w:rsid w:val="00C173DE"/>
    <w:rsid w:val="00C17BAF"/>
    <w:rsid w:val="00C20981"/>
    <w:rsid w:val="00C210A0"/>
    <w:rsid w:val="00C21431"/>
    <w:rsid w:val="00C2152F"/>
    <w:rsid w:val="00C21C6F"/>
    <w:rsid w:val="00C2243B"/>
    <w:rsid w:val="00C224C5"/>
    <w:rsid w:val="00C23503"/>
    <w:rsid w:val="00C24891"/>
    <w:rsid w:val="00C25362"/>
    <w:rsid w:val="00C26065"/>
    <w:rsid w:val="00C26352"/>
    <w:rsid w:val="00C3045D"/>
    <w:rsid w:val="00C31CC0"/>
    <w:rsid w:val="00C32984"/>
    <w:rsid w:val="00C342DA"/>
    <w:rsid w:val="00C34B69"/>
    <w:rsid w:val="00C35504"/>
    <w:rsid w:val="00C365E8"/>
    <w:rsid w:val="00C3767B"/>
    <w:rsid w:val="00C37807"/>
    <w:rsid w:val="00C41989"/>
    <w:rsid w:val="00C41AA3"/>
    <w:rsid w:val="00C42070"/>
    <w:rsid w:val="00C44602"/>
    <w:rsid w:val="00C44916"/>
    <w:rsid w:val="00C46411"/>
    <w:rsid w:val="00C46EB1"/>
    <w:rsid w:val="00C506DC"/>
    <w:rsid w:val="00C50EA1"/>
    <w:rsid w:val="00C51039"/>
    <w:rsid w:val="00C52788"/>
    <w:rsid w:val="00C527B0"/>
    <w:rsid w:val="00C5372A"/>
    <w:rsid w:val="00C53DAF"/>
    <w:rsid w:val="00C53F0C"/>
    <w:rsid w:val="00C53FF8"/>
    <w:rsid w:val="00C54623"/>
    <w:rsid w:val="00C54D63"/>
    <w:rsid w:val="00C556F0"/>
    <w:rsid w:val="00C56F7B"/>
    <w:rsid w:val="00C570F7"/>
    <w:rsid w:val="00C57F8F"/>
    <w:rsid w:val="00C60730"/>
    <w:rsid w:val="00C613A0"/>
    <w:rsid w:val="00C633A6"/>
    <w:rsid w:val="00C63E70"/>
    <w:rsid w:val="00C6431F"/>
    <w:rsid w:val="00C6433D"/>
    <w:rsid w:val="00C650BD"/>
    <w:rsid w:val="00C65725"/>
    <w:rsid w:val="00C66E51"/>
    <w:rsid w:val="00C70002"/>
    <w:rsid w:val="00C71B2B"/>
    <w:rsid w:val="00C740C2"/>
    <w:rsid w:val="00C7575B"/>
    <w:rsid w:val="00C75A5B"/>
    <w:rsid w:val="00C76459"/>
    <w:rsid w:val="00C774F0"/>
    <w:rsid w:val="00C77660"/>
    <w:rsid w:val="00C7797F"/>
    <w:rsid w:val="00C81850"/>
    <w:rsid w:val="00C81979"/>
    <w:rsid w:val="00C82711"/>
    <w:rsid w:val="00C82D9F"/>
    <w:rsid w:val="00C83722"/>
    <w:rsid w:val="00C84E65"/>
    <w:rsid w:val="00C863AA"/>
    <w:rsid w:val="00C86829"/>
    <w:rsid w:val="00C871FC"/>
    <w:rsid w:val="00C87C8D"/>
    <w:rsid w:val="00C90746"/>
    <w:rsid w:val="00C90C3B"/>
    <w:rsid w:val="00C9139E"/>
    <w:rsid w:val="00C92A0C"/>
    <w:rsid w:val="00C930D2"/>
    <w:rsid w:val="00C93185"/>
    <w:rsid w:val="00C93AB5"/>
    <w:rsid w:val="00C943C7"/>
    <w:rsid w:val="00C9520D"/>
    <w:rsid w:val="00C96436"/>
    <w:rsid w:val="00C966C3"/>
    <w:rsid w:val="00C96A0A"/>
    <w:rsid w:val="00C972EC"/>
    <w:rsid w:val="00C97D7E"/>
    <w:rsid w:val="00CA1377"/>
    <w:rsid w:val="00CA16AC"/>
    <w:rsid w:val="00CA1D54"/>
    <w:rsid w:val="00CA25F0"/>
    <w:rsid w:val="00CA3290"/>
    <w:rsid w:val="00CA35E4"/>
    <w:rsid w:val="00CA391A"/>
    <w:rsid w:val="00CA3AA7"/>
    <w:rsid w:val="00CA7162"/>
    <w:rsid w:val="00CA7E1D"/>
    <w:rsid w:val="00CB1726"/>
    <w:rsid w:val="00CB3749"/>
    <w:rsid w:val="00CB3E18"/>
    <w:rsid w:val="00CB66ED"/>
    <w:rsid w:val="00CB6E77"/>
    <w:rsid w:val="00CB764C"/>
    <w:rsid w:val="00CC01FE"/>
    <w:rsid w:val="00CC0933"/>
    <w:rsid w:val="00CC1AC5"/>
    <w:rsid w:val="00CC1D02"/>
    <w:rsid w:val="00CC3C8A"/>
    <w:rsid w:val="00CC4D3E"/>
    <w:rsid w:val="00CC5673"/>
    <w:rsid w:val="00CC57C7"/>
    <w:rsid w:val="00CC7E2B"/>
    <w:rsid w:val="00CD0E35"/>
    <w:rsid w:val="00CD0FDC"/>
    <w:rsid w:val="00CD2565"/>
    <w:rsid w:val="00CD2649"/>
    <w:rsid w:val="00CD351F"/>
    <w:rsid w:val="00CD3F1F"/>
    <w:rsid w:val="00CD46BC"/>
    <w:rsid w:val="00CD4B3C"/>
    <w:rsid w:val="00CD619B"/>
    <w:rsid w:val="00CD6433"/>
    <w:rsid w:val="00CD6B41"/>
    <w:rsid w:val="00CD75E3"/>
    <w:rsid w:val="00CE0CF7"/>
    <w:rsid w:val="00CE193A"/>
    <w:rsid w:val="00CE1A1F"/>
    <w:rsid w:val="00CE1E62"/>
    <w:rsid w:val="00CE1F32"/>
    <w:rsid w:val="00CE21CB"/>
    <w:rsid w:val="00CE2E18"/>
    <w:rsid w:val="00CE2E21"/>
    <w:rsid w:val="00CE3E90"/>
    <w:rsid w:val="00CE442F"/>
    <w:rsid w:val="00CE5173"/>
    <w:rsid w:val="00CE6751"/>
    <w:rsid w:val="00CE6785"/>
    <w:rsid w:val="00CE6D4F"/>
    <w:rsid w:val="00CE7547"/>
    <w:rsid w:val="00CE7AC3"/>
    <w:rsid w:val="00CE7AD4"/>
    <w:rsid w:val="00CE7B66"/>
    <w:rsid w:val="00CE7DAA"/>
    <w:rsid w:val="00CF05F4"/>
    <w:rsid w:val="00CF1399"/>
    <w:rsid w:val="00CF2743"/>
    <w:rsid w:val="00CF3C0A"/>
    <w:rsid w:val="00CF791B"/>
    <w:rsid w:val="00CF7E85"/>
    <w:rsid w:val="00D0030E"/>
    <w:rsid w:val="00D03062"/>
    <w:rsid w:val="00D06C3F"/>
    <w:rsid w:val="00D06E00"/>
    <w:rsid w:val="00D100EF"/>
    <w:rsid w:val="00D11213"/>
    <w:rsid w:val="00D11519"/>
    <w:rsid w:val="00D128DF"/>
    <w:rsid w:val="00D135EB"/>
    <w:rsid w:val="00D1474F"/>
    <w:rsid w:val="00D14A6B"/>
    <w:rsid w:val="00D16642"/>
    <w:rsid w:val="00D17DA0"/>
    <w:rsid w:val="00D20860"/>
    <w:rsid w:val="00D20A39"/>
    <w:rsid w:val="00D21CD4"/>
    <w:rsid w:val="00D21F57"/>
    <w:rsid w:val="00D244F3"/>
    <w:rsid w:val="00D248EC"/>
    <w:rsid w:val="00D2622E"/>
    <w:rsid w:val="00D2708C"/>
    <w:rsid w:val="00D2718E"/>
    <w:rsid w:val="00D27EC5"/>
    <w:rsid w:val="00D31395"/>
    <w:rsid w:val="00D31BD8"/>
    <w:rsid w:val="00D330BF"/>
    <w:rsid w:val="00D34C89"/>
    <w:rsid w:val="00D35453"/>
    <w:rsid w:val="00D36696"/>
    <w:rsid w:val="00D36D87"/>
    <w:rsid w:val="00D36DCF"/>
    <w:rsid w:val="00D3757F"/>
    <w:rsid w:val="00D37830"/>
    <w:rsid w:val="00D37BA9"/>
    <w:rsid w:val="00D37FFB"/>
    <w:rsid w:val="00D43D4F"/>
    <w:rsid w:val="00D4436E"/>
    <w:rsid w:val="00D45806"/>
    <w:rsid w:val="00D465E8"/>
    <w:rsid w:val="00D47637"/>
    <w:rsid w:val="00D50085"/>
    <w:rsid w:val="00D51743"/>
    <w:rsid w:val="00D54D6B"/>
    <w:rsid w:val="00D551E3"/>
    <w:rsid w:val="00D56699"/>
    <w:rsid w:val="00D60D9C"/>
    <w:rsid w:val="00D61130"/>
    <w:rsid w:val="00D61845"/>
    <w:rsid w:val="00D62172"/>
    <w:rsid w:val="00D621C9"/>
    <w:rsid w:val="00D62347"/>
    <w:rsid w:val="00D627FE"/>
    <w:rsid w:val="00D62B03"/>
    <w:rsid w:val="00D6489C"/>
    <w:rsid w:val="00D6529D"/>
    <w:rsid w:val="00D662EC"/>
    <w:rsid w:val="00D66D38"/>
    <w:rsid w:val="00D70034"/>
    <w:rsid w:val="00D71937"/>
    <w:rsid w:val="00D72370"/>
    <w:rsid w:val="00D72BF7"/>
    <w:rsid w:val="00D730CB"/>
    <w:rsid w:val="00D7375B"/>
    <w:rsid w:val="00D73A7A"/>
    <w:rsid w:val="00D776D8"/>
    <w:rsid w:val="00D805CC"/>
    <w:rsid w:val="00D80999"/>
    <w:rsid w:val="00D81013"/>
    <w:rsid w:val="00D8225D"/>
    <w:rsid w:val="00D83E43"/>
    <w:rsid w:val="00D8430F"/>
    <w:rsid w:val="00D900FE"/>
    <w:rsid w:val="00D9139B"/>
    <w:rsid w:val="00D93BAA"/>
    <w:rsid w:val="00D95241"/>
    <w:rsid w:val="00D95B17"/>
    <w:rsid w:val="00D95C63"/>
    <w:rsid w:val="00DA13CF"/>
    <w:rsid w:val="00DA1F53"/>
    <w:rsid w:val="00DA2ACB"/>
    <w:rsid w:val="00DA435A"/>
    <w:rsid w:val="00DA4360"/>
    <w:rsid w:val="00DA4B22"/>
    <w:rsid w:val="00DA4D6D"/>
    <w:rsid w:val="00DA56E9"/>
    <w:rsid w:val="00DA6B38"/>
    <w:rsid w:val="00DA7130"/>
    <w:rsid w:val="00DB0775"/>
    <w:rsid w:val="00DB1213"/>
    <w:rsid w:val="00DB23DB"/>
    <w:rsid w:val="00DB289E"/>
    <w:rsid w:val="00DB5663"/>
    <w:rsid w:val="00DB5F08"/>
    <w:rsid w:val="00DC02AF"/>
    <w:rsid w:val="00DC29C6"/>
    <w:rsid w:val="00DC3C8C"/>
    <w:rsid w:val="00DC4297"/>
    <w:rsid w:val="00DC42F1"/>
    <w:rsid w:val="00DC4BEB"/>
    <w:rsid w:val="00DC5821"/>
    <w:rsid w:val="00DD008E"/>
    <w:rsid w:val="00DD16E0"/>
    <w:rsid w:val="00DD1C5C"/>
    <w:rsid w:val="00DD2F6B"/>
    <w:rsid w:val="00DD2FC9"/>
    <w:rsid w:val="00DD50CB"/>
    <w:rsid w:val="00DD5324"/>
    <w:rsid w:val="00DD6CC6"/>
    <w:rsid w:val="00DD75A3"/>
    <w:rsid w:val="00DD77DA"/>
    <w:rsid w:val="00DE0A36"/>
    <w:rsid w:val="00DE0CC3"/>
    <w:rsid w:val="00DE129F"/>
    <w:rsid w:val="00DE1E5A"/>
    <w:rsid w:val="00DE2CA1"/>
    <w:rsid w:val="00DE3EBE"/>
    <w:rsid w:val="00DE452A"/>
    <w:rsid w:val="00DE5349"/>
    <w:rsid w:val="00DE5759"/>
    <w:rsid w:val="00DE5872"/>
    <w:rsid w:val="00DE7166"/>
    <w:rsid w:val="00DE7216"/>
    <w:rsid w:val="00DF0638"/>
    <w:rsid w:val="00DF0D7A"/>
    <w:rsid w:val="00DF1E2E"/>
    <w:rsid w:val="00DF22B2"/>
    <w:rsid w:val="00DF345C"/>
    <w:rsid w:val="00DF5AC7"/>
    <w:rsid w:val="00DF65ED"/>
    <w:rsid w:val="00DF78B8"/>
    <w:rsid w:val="00DF7B25"/>
    <w:rsid w:val="00E00C96"/>
    <w:rsid w:val="00E0180F"/>
    <w:rsid w:val="00E019A0"/>
    <w:rsid w:val="00E037CE"/>
    <w:rsid w:val="00E03D8A"/>
    <w:rsid w:val="00E07682"/>
    <w:rsid w:val="00E079D1"/>
    <w:rsid w:val="00E07F7E"/>
    <w:rsid w:val="00E10033"/>
    <w:rsid w:val="00E10DD1"/>
    <w:rsid w:val="00E12051"/>
    <w:rsid w:val="00E12D97"/>
    <w:rsid w:val="00E133A5"/>
    <w:rsid w:val="00E14267"/>
    <w:rsid w:val="00E1443C"/>
    <w:rsid w:val="00E14934"/>
    <w:rsid w:val="00E16E4E"/>
    <w:rsid w:val="00E20621"/>
    <w:rsid w:val="00E210B9"/>
    <w:rsid w:val="00E21B5A"/>
    <w:rsid w:val="00E2394A"/>
    <w:rsid w:val="00E23A95"/>
    <w:rsid w:val="00E23E75"/>
    <w:rsid w:val="00E2485D"/>
    <w:rsid w:val="00E25486"/>
    <w:rsid w:val="00E25D19"/>
    <w:rsid w:val="00E25F9D"/>
    <w:rsid w:val="00E26E09"/>
    <w:rsid w:val="00E27188"/>
    <w:rsid w:val="00E27367"/>
    <w:rsid w:val="00E27E68"/>
    <w:rsid w:val="00E30920"/>
    <w:rsid w:val="00E31055"/>
    <w:rsid w:val="00E31A97"/>
    <w:rsid w:val="00E31F0A"/>
    <w:rsid w:val="00E33103"/>
    <w:rsid w:val="00E33723"/>
    <w:rsid w:val="00E337CF"/>
    <w:rsid w:val="00E34270"/>
    <w:rsid w:val="00E34D53"/>
    <w:rsid w:val="00E34F30"/>
    <w:rsid w:val="00E3630C"/>
    <w:rsid w:val="00E37051"/>
    <w:rsid w:val="00E37F45"/>
    <w:rsid w:val="00E40BF0"/>
    <w:rsid w:val="00E4107D"/>
    <w:rsid w:val="00E41ABC"/>
    <w:rsid w:val="00E432E7"/>
    <w:rsid w:val="00E4335E"/>
    <w:rsid w:val="00E4370D"/>
    <w:rsid w:val="00E438C6"/>
    <w:rsid w:val="00E43BED"/>
    <w:rsid w:val="00E44801"/>
    <w:rsid w:val="00E458D2"/>
    <w:rsid w:val="00E4632C"/>
    <w:rsid w:val="00E55CC0"/>
    <w:rsid w:val="00E55DF2"/>
    <w:rsid w:val="00E564F7"/>
    <w:rsid w:val="00E565C6"/>
    <w:rsid w:val="00E569CD"/>
    <w:rsid w:val="00E57819"/>
    <w:rsid w:val="00E613BB"/>
    <w:rsid w:val="00E630F1"/>
    <w:rsid w:val="00E6346A"/>
    <w:rsid w:val="00E63C6A"/>
    <w:rsid w:val="00E64744"/>
    <w:rsid w:val="00E64FD6"/>
    <w:rsid w:val="00E66A4C"/>
    <w:rsid w:val="00E66B24"/>
    <w:rsid w:val="00E67C2C"/>
    <w:rsid w:val="00E70846"/>
    <w:rsid w:val="00E72FFC"/>
    <w:rsid w:val="00E73614"/>
    <w:rsid w:val="00E75131"/>
    <w:rsid w:val="00E75C37"/>
    <w:rsid w:val="00E77948"/>
    <w:rsid w:val="00E77EEF"/>
    <w:rsid w:val="00E801C9"/>
    <w:rsid w:val="00E80E61"/>
    <w:rsid w:val="00E81CA3"/>
    <w:rsid w:val="00E839DC"/>
    <w:rsid w:val="00E841AC"/>
    <w:rsid w:val="00E84BEB"/>
    <w:rsid w:val="00E8548A"/>
    <w:rsid w:val="00E86B46"/>
    <w:rsid w:val="00E912F3"/>
    <w:rsid w:val="00E92492"/>
    <w:rsid w:val="00E92AEB"/>
    <w:rsid w:val="00E93A20"/>
    <w:rsid w:val="00E947D2"/>
    <w:rsid w:val="00E94DCB"/>
    <w:rsid w:val="00E95E8F"/>
    <w:rsid w:val="00E95F88"/>
    <w:rsid w:val="00E96D71"/>
    <w:rsid w:val="00E97812"/>
    <w:rsid w:val="00EA08FC"/>
    <w:rsid w:val="00EA281B"/>
    <w:rsid w:val="00EA3CED"/>
    <w:rsid w:val="00EA3FF6"/>
    <w:rsid w:val="00EA40A5"/>
    <w:rsid w:val="00EA4299"/>
    <w:rsid w:val="00EA4EEB"/>
    <w:rsid w:val="00EA50C2"/>
    <w:rsid w:val="00EA5555"/>
    <w:rsid w:val="00EA55E0"/>
    <w:rsid w:val="00EA5C17"/>
    <w:rsid w:val="00EA6A86"/>
    <w:rsid w:val="00EA7003"/>
    <w:rsid w:val="00EB11E0"/>
    <w:rsid w:val="00EB16AC"/>
    <w:rsid w:val="00EB22A6"/>
    <w:rsid w:val="00EB2AB2"/>
    <w:rsid w:val="00EB2D32"/>
    <w:rsid w:val="00EB31DA"/>
    <w:rsid w:val="00EB32BE"/>
    <w:rsid w:val="00EB3FF5"/>
    <w:rsid w:val="00EB4C65"/>
    <w:rsid w:val="00EB562E"/>
    <w:rsid w:val="00EB65EB"/>
    <w:rsid w:val="00EB750C"/>
    <w:rsid w:val="00EB7DAF"/>
    <w:rsid w:val="00EC06B7"/>
    <w:rsid w:val="00EC06DB"/>
    <w:rsid w:val="00EC0B04"/>
    <w:rsid w:val="00EC0BA9"/>
    <w:rsid w:val="00EC1734"/>
    <w:rsid w:val="00EC1DC5"/>
    <w:rsid w:val="00EC2A42"/>
    <w:rsid w:val="00EC309D"/>
    <w:rsid w:val="00EC32EF"/>
    <w:rsid w:val="00EC3954"/>
    <w:rsid w:val="00EC442C"/>
    <w:rsid w:val="00EC4929"/>
    <w:rsid w:val="00EC5BE3"/>
    <w:rsid w:val="00EC6420"/>
    <w:rsid w:val="00EC6D69"/>
    <w:rsid w:val="00ED0A29"/>
    <w:rsid w:val="00ED0FBC"/>
    <w:rsid w:val="00ED13EC"/>
    <w:rsid w:val="00ED4382"/>
    <w:rsid w:val="00ED4C4F"/>
    <w:rsid w:val="00ED6403"/>
    <w:rsid w:val="00ED6751"/>
    <w:rsid w:val="00ED683A"/>
    <w:rsid w:val="00ED689F"/>
    <w:rsid w:val="00ED75D4"/>
    <w:rsid w:val="00ED7614"/>
    <w:rsid w:val="00ED7808"/>
    <w:rsid w:val="00EE29F7"/>
    <w:rsid w:val="00EE32B2"/>
    <w:rsid w:val="00EE3AC8"/>
    <w:rsid w:val="00EE67B0"/>
    <w:rsid w:val="00EE698A"/>
    <w:rsid w:val="00EF0A9A"/>
    <w:rsid w:val="00EF0D79"/>
    <w:rsid w:val="00EF2869"/>
    <w:rsid w:val="00EF4090"/>
    <w:rsid w:val="00EF56AF"/>
    <w:rsid w:val="00EF57D3"/>
    <w:rsid w:val="00EF594E"/>
    <w:rsid w:val="00EF79FD"/>
    <w:rsid w:val="00F017D0"/>
    <w:rsid w:val="00F028F1"/>
    <w:rsid w:val="00F04681"/>
    <w:rsid w:val="00F04F50"/>
    <w:rsid w:val="00F05518"/>
    <w:rsid w:val="00F07489"/>
    <w:rsid w:val="00F1058A"/>
    <w:rsid w:val="00F11965"/>
    <w:rsid w:val="00F127C0"/>
    <w:rsid w:val="00F136DE"/>
    <w:rsid w:val="00F13AA0"/>
    <w:rsid w:val="00F14D46"/>
    <w:rsid w:val="00F15730"/>
    <w:rsid w:val="00F159C9"/>
    <w:rsid w:val="00F16568"/>
    <w:rsid w:val="00F17BC9"/>
    <w:rsid w:val="00F17C93"/>
    <w:rsid w:val="00F20150"/>
    <w:rsid w:val="00F23A2E"/>
    <w:rsid w:val="00F249D5"/>
    <w:rsid w:val="00F24C76"/>
    <w:rsid w:val="00F24DEE"/>
    <w:rsid w:val="00F255EC"/>
    <w:rsid w:val="00F262D1"/>
    <w:rsid w:val="00F26623"/>
    <w:rsid w:val="00F26F58"/>
    <w:rsid w:val="00F27214"/>
    <w:rsid w:val="00F2780A"/>
    <w:rsid w:val="00F30290"/>
    <w:rsid w:val="00F31C43"/>
    <w:rsid w:val="00F33834"/>
    <w:rsid w:val="00F33984"/>
    <w:rsid w:val="00F339A3"/>
    <w:rsid w:val="00F350D0"/>
    <w:rsid w:val="00F35472"/>
    <w:rsid w:val="00F37571"/>
    <w:rsid w:val="00F40003"/>
    <w:rsid w:val="00F40911"/>
    <w:rsid w:val="00F42148"/>
    <w:rsid w:val="00F42F46"/>
    <w:rsid w:val="00F43B20"/>
    <w:rsid w:val="00F47B7A"/>
    <w:rsid w:val="00F5104E"/>
    <w:rsid w:val="00F51D25"/>
    <w:rsid w:val="00F52A98"/>
    <w:rsid w:val="00F5342A"/>
    <w:rsid w:val="00F5580F"/>
    <w:rsid w:val="00F55B1C"/>
    <w:rsid w:val="00F569DB"/>
    <w:rsid w:val="00F56BA1"/>
    <w:rsid w:val="00F56BE0"/>
    <w:rsid w:val="00F57BE8"/>
    <w:rsid w:val="00F61B2B"/>
    <w:rsid w:val="00F62AED"/>
    <w:rsid w:val="00F62B94"/>
    <w:rsid w:val="00F63876"/>
    <w:rsid w:val="00F64DAF"/>
    <w:rsid w:val="00F65BAA"/>
    <w:rsid w:val="00F66E63"/>
    <w:rsid w:val="00F677A5"/>
    <w:rsid w:val="00F677FA"/>
    <w:rsid w:val="00F678A8"/>
    <w:rsid w:val="00F678F8"/>
    <w:rsid w:val="00F718E8"/>
    <w:rsid w:val="00F73050"/>
    <w:rsid w:val="00F74CFC"/>
    <w:rsid w:val="00F74DA9"/>
    <w:rsid w:val="00F75537"/>
    <w:rsid w:val="00F7560E"/>
    <w:rsid w:val="00F759DA"/>
    <w:rsid w:val="00F75DA4"/>
    <w:rsid w:val="00F7614C"/>
    <w:rsid w:val="00F77A99"/>
    <w:rsid w:val="00F80E0E"/>
    <w:rsid w:val="00F82E96"/>
    <w:rsid w:val="00F83559"/>
    <w:rsid w:val="00F84F20"/>
    <w:rsid w:val="00F85DE5"/>
    <w:rsid w:val="00F868DD"/>
    <w:rsid w:val="00F92FF3"/>
    <w:rsid w:val="00F93D62"/>
    <w:rsid w:val="00F93DF3"/>
    <w:rsid w:val="00F94BD2"/>
    <w:rsid w:val="00F956FE"/>
    <w:rsid w:val="00F96048"/>
    <w:rsid w:val="00F9612F"/>
    <w:rsid w:val="00F961EF"/>
    <w:rsid w:val="00FA0872"/>
    <w:rsid w:val="00FA0C92"/>
    <w:rsid w:val="00FA0D52"/>
    <w:rsid w:val="00FA0E02"/>
    <w:rsid w:val="00FA13F1"/>
    <w:rsid w:val="00FA22DC"/>
    <w:rsid w:val="00FA2601"/>
    <w:rsid w:val="00FA4CDC"/>
    <w:rsid w:val="00FA6496"/>
    <w:rsid w:val="00FA7835"/>
    <w:rsid w:val="00FB275A"/>
    <w:rsid w:val="00FB2CB3"/>
    <w:rsid w:val="00FB392F"/>
    <w:rsid w:val="00FB3A8A"/>
    <w:rsid w:val="00FB3B4D"/>
    <w:rsid w:val="00FB5102"/>
    <w:rsid w:val="00FB5239"/>
    <w:rsid w:val="00FB5B82"/>
    <w:rsid w:val="00FB7FA2"/>
    <w:rsid w:val="00FC29CB"/>
    <w:rsid w:val="00FC5347"/>
    <w:rsid w:val="00FC6471"/>
    <w:rsid w:val="00FC67F5"/>
    <w:rsid w:val="00FC7975"/>
    <w:rsid w:val="00FD2671"/>
    <w:rsid w:val="00FD3006"/>
    <w:rsid w:val="00FD34D3"/>
    <w:rsid w:val="00FD3934"/>
    <w:rsid w:val="00FD3DC2"/>
    <w:rsid w:val="00FD523E"/>
    <w:rsid w:val="00FD5EBD"/>
    <w:rsid w:val="00FD5EC1"/>
    <w:rsid w:val="00FD6166"/>
    <w:rsid w:val="00FD6598"/>
    <w:rsid w:val="00FD70F9"/>
    <w:rsid w:val="00FE052F"/>
    <w:rsid w:val="00FE0A0D"/>
    <w:rsid w:val="00FE1FD5"/>
    <w:rsid w:val="00FE254D"/>
    <w:rsid w:val="00FE2EF5"/>
    <w:rsid w:val="00FE3967"/>
    <w:rsid w:val="00FE3DC0"/>
    <w:rsid w:val="00FE414F"/>
    <w:rsid w:val="00FE643E"/>
    <w:rsid w:val="00FE6793"/>
    <w:rsid w:val="00FE7DF9"/>
    <w:rsid w:val="00FF032D"/>
    <w:rsid w:val="00FF15AE"/>
    <w:rsid w:val="00FF1DCA"/>
    <w:rsid w:val="00FF30C3"/>
    <w:rsid w:val="00FF3516"/>
    <w:rsid w:val="00FF4320"/>
    <w:rsid w:val="00FF4F51"/>
    <w:rsid w:val="00FF55D8"/>
    <w:rsid w:val="00FF6033"/>
    <w:rsid w:val="00FF6FF6"/>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D683A"/>
    <w:pPr>
      <w:overflowPunct w:val="0"/>
      <w:autoSpaceDE w:val="0"/>
      <w:autoSpaceDN w:val="0"/>
      <w:adjustRightInd w:val="0"/>
      <w:spacing w:after="180"/>
      <w:textAlignment w:val="baseline"/>
    </w:pPr>
    <w:rPr>
      <w:rFonts w:ascii="Times New Roman" w:hAnsi="Times New Roman"/>
      <w:lang w:val="en-GB" w:eastAsia="zh-CN"/>
    </w:rPr>
  </w:style>
  <w:style w:type="paragraph" w:styleId="1">
    <w:name w:val="heading 1"/>
    <w:aliases w:val="NMP Heading 1,H1,h11,h12,h13,h14,h15,h16,app heading 1,l1,Memo Heading 1,Heading 1_a,heading 1,h17,h111,h121,h131,h141,h151,h161,h18,h112,h122,h132,h142,h152,h162,h19,h113,h123,h133,h143,h153,h163"/>
    <w:next w:val="a"/>
    <w:qFormat/>
    <w:rsid w:val="00ED68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2">
    <w:name w:val="heading 2"/>
    <w:aliases w:val="H2,h2,Head2A,2,UNDERRUBRIK 1-2,DO NOT USE_h2,h21,Heading 2 Char,H2 Char,h2 Char"/>
    <w:basedOn w:val="1"/>
    <w:next w:val="a"/>
    <w:qFormat/>
    <w:rsid w:val="00ED683A"/>
    <w:pPr>
      <w:pBdr>
        <w:top w:val="none" w:sz="0" w:space="0" w:color="auto"/>
      </w:pBdr>
      <w:spacing w:before="180"/>
      <w:outlineLvl w:val="1"/>
    </w:pPr>
    <w:rPr>
      <w:sz w:val="32"/>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qFormat/>
    <w:rsid w:val="00ED683A"/>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0"/>
    <w:next w:val="a"/>
    <w:qFormat/>
    <w:rsid w:val="00ED683A"/>
    <w:pPr>
      <w:ind w:left="1418" w:hanging="1418"/>
      <w:outlineLvl w:val="3"/>
    </w:pPr>
    <w:rPr>
      <w:sz w:val="24"/>
    </w:rPr>
  </w:style>
  <w:style w:type="paragraph" w:styleId="5">
    <w:name w:val="heading 5"/>
    <w:aliases w:val="H5,h5,Heading5,T5,5,heading 5"/>
    <w:basedOn w:val="4"/>
    <w:next w:val="a"/>
    <w:link w:val="5Char"/>
    <w:qFormat/>
    <w:rsid w:val="00ED683A"/>
    <w:pPr>
      <w:ind w:left="1701" w:hanging="1701"/>
      <w:outlineLvl w:val="4"/>
    </w:pPr>
    <w:rPr>
      <w:sz w:val="22"/>
    </w:rPr>
  </w:style>
  <w:style w:type="paragraph" w:styleId="6">
    <w:name w:val="heading 6"/>
    <w:basedOn w:val="H6"/>
    <w:next w:val="a"/>
    <w:qFormat/>
    <w:rsid w:val="00ED683A"/>
    <w:pPr>
      <w:outlineLvl w:val="5"/>
    </w:pPr>
  </w:style>
  <w:style w:type="paragraph" w:styleId="7">
    <w:name w:val="heading 7"/>
    <w:basedOn w:val="H6"/>
    <w:next w:val="a"/>
    <w:qFormat/>
    <w:rsid w:val="00ED683A"/>
    <w:pPr>
      <w:outlineLvl w:val="6"/>
    </w:pPr>
  </w:style>
  <w:style w:type="paragraph" w:styleId="8">
    <w:name w:val="heading 8"/>
    <w:basedOn w:val="1"/>
    <w:next w:val="a"/>
    <w:qFormat/>
    <w:rsid w:val="00ED683A"/>
    <w:pPr>
      <w:ind w:left="0" w:firstLine="0"/>
      <w:outlineLvl w:val="7"/>
    </w:pPr>
  </w:style>
  <w:style w:type="paragraph" w:styleId="9">
    <w:name w:val="heading 9"/>
    <w:basedOn w:val="8"/>
    <w:next w:val="a"/>
    <w:qFormat/>
    <w:rsid w:val="00ED683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ED683A"/>
    <w:pPr>
      <w:spacing w:before="180"/>
      <w:ind w:left="2693" w:hanging="2693"/>
    </w:pPr>
    <w:rPr>
      <w:b/>
    </w:rPr>
  </w:style>
  <w:style w:type="paragraph" w:styleId="10">
    <w:name w:val="toc 1"/>
    <w:semiHidden/>
    <w:rsid w:val="00ED683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zh-CN"/>
    </w:rPr>
  </w:style>
  <w:style w:type="paragraph" w:customStyle="1" w:styleId="ZT">
    <w:name w:val="ZT"/>
    <w:rsid w:val="00ED683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50">
    <w:name w:val="toc 5"/>
    <w:basedOn w:val="40"/>
    <w:semiHidden/>
    <w:rsid w:val="00ED683A"/>
    <w:pPr>
      <w:ind w:left="1701" w:hanging="1701"/>
    </w:pPr>
  </w:style>
  <w:style w:type="paragraph" w:styleId="40">
    <w:name w:val="toc 4"/>
    <w:basedOn w:val="31"/>
    <w:semiHidden/>
    <w:rsid w:val="00ED683A"/>
    <w:pPr>
      <w:ind w:left="1418" w:hanging="1418"/>
    </w:pPr>
  </w:style>
  <w:style w:type="paragraph" w:styleId="31">
    <w:name w:val="toc 3"/>
    <w:basedOn w:val="20"/>
    <w:semiHidden/>
    <w:rsid w:val="00ED683A"/>
    <w:pPr>
      <w:ind w:left="1134" w:hanging="1134"/>
    </w:pPr>
  </w:style>
  <w:style w:type="paragraph" w:styleId="20">
    <w:name w:val="toc 2"/>
    <w:basedOn w:val="10"/>
    <w:semiHidden/>
    <w:rsid w:val="00ED683A"/>
    <w:pPr>
      <w:keepNext w:val="0"/>
      <w:spacing w:before="0"/>
      <w:ind w:left="851" w:hanging="851"/>
    </w:pPr>
    <w:rPr>
      <w:sz w:val="20"/>
    </w:rPr>
  </w:style>
  <w:style w:type="paragraph" w:styleId="21">
    <w:name w:val="index 2"/>
    <w:basedOn w:val="11"/>
    <w:semiHidden/>
    <w:rsid w:val="00ED683A"/>
    <w:pPr>
      <w:ind w:left="284"/>
    </w:pPr>
  </w:style>
  <w:style w:type="paragraph" w:styleId="11">
    <w:name w:val="index 1"/>
    <w:basedOn w:val="a"/>
    <w:semiHidden/>
    <w:rsid w:val="00ED683A"/>
    <w:pPr>
      <w:keepLines/>
      <w:spacing w:after="0"/>
    </w:pPr>
  </w:style>
  <w:style w:type="paragraph" w:customStyle="1" w:styleId="ZH">
    <w:name w:val="ZH"/>
    <w:rsid w:val="00ED683A"/>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zh-CN"/>
    </w:rPr>
  </w:style>
  <w:style w:type="paragraph" w:customStyle="1" w:styleId="TT">
    <w:name w:val="TT"/>
    <w:basedOn w:val="1"/>
    <w:next w:val="a"/>
    <w:rsid w:val="00ED683A"/>
    <w:pPr>
      <w:outlineLvl w:val="9"/>
    </w:pPr>
  </w:style>
  <w:style w:type="paragraph" w:styleId="22">
    <w:name w:val="List Number 2"/>
    <w:basedOn w:val="a3"/>
    <w:rsid w:val="00ED683A"/>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ED683A"/>
    <w:pPr>
      <w:widowControl w:val="0"/>
      <w:overflowPunct w:val="0"/>
      <w:autoSpaceDE w:val="0"/>
      <w:autoSpaceDN w:val="0"/>
      <w:adjustRightInd w:val="0"/>
      <w:textAlignment w:val="baseline"/>
    </w:pPr>
    <w:rPr>
      <w:rFonts w:ascii="Arial" w:hAnsi="Arial"/>
      <w:b/>
      <w:noProof/>
      <w:sz w:val="18"/>
      <w:lang w:val="fr-FR" w:eastAsia="zh-CN"/>
    </w:rPr>
  </w:style>
  <w:style w:type="character" w:styleId="a5">
    <w:name w:val="footnote reference"/>
    <w:semiHidden/>
    <w:rsid w:val="00ED683A"/>
    <w:rPr>
      <w:b/>
      <w:position w:val="6"/>
      <w:sz w:val="16"/>
    </w:rPr>
  </w:style>
  <w:style w:type="paragraph" w:styleId="a6">
    <w:name w:val="footnote text"/>
    <w:basedOn w:val="a"/>
    <w:semiHidden/>
    <w:rsid w:val="00ED683A"/>
    <w:pPr>
      <w:keepLines/>
      <w:spacing w:after="0"/>
      <w:ind w:left="454" w:hanging="454"/>
    </w:pPr>
    <w:rPr>
      <w:sz w:val="16"/>
    </w:rPr>
  </w:style>
  <w:style w:type="paragraph" w:customStyle="1" w:styleId="TAH">
    <w:name w:val="TAH"/>
    <w:basedOn w:val="TAC"/>
    <w:rsid w:val="00ED683A"/>
    <w:rPr>
      <w:b/>
    </w:rPr>
  </w:style>
  <w:style w:type="paragraph" w:customStyle="1" w:styleId="TAC">
    <w:name w:val="TAC"/>
    <w:basedOn w:val="TAL"/>
    <w:link w:val="TACChar"/>
    <w:rsid w:val="00ED683A"/>
    <w:pPr>
      <w:jc w:val="center"/>
    </w:pPr>
  </w:style>
  <w:style w:type="paragraph" w:customStyle="1" w:styleId="TF">
    <w:name w:val="TF"/>
    <w:basedOn w:val="TH"/>
    <w:rsid w:val="00ED683A"/>
    <w:pPr>
      <w:keepNext w:val="0"/>
      <w:spacing w:before="0" w:after="240"/>
    </w:pPr>
  </w:style>
  <w:style w:type="paragraph" w:customStyle="1" w:styleId="NO">
    <w:name w:val="NO"/>
    <w:basedOn w:val="a"/>
    <w:rsid w:val="00ED683A"/>
    <w:pPr>
      <w:keepLines/>
      <w:ind w:left="1135" w:hanging="851"/>
    </w:pPr>
  </w:style>
  <w:style w:type="paragraph" w:styleId="90">
    <w:name w:val="toc 9"/>
    <w:basedOn w:val="80"/>
    <w:semiHidden/>
    <w:rsid w:val="00ED683A"/>
    <w:pPr>
      <w:ind w:left="1418" w:hanging="1418"/>
    </w:pPr>
  </w:style>
  <w:style w:type="paragraph" w:customStyle="1" w:styleId="EX">
    <w:name w:val="EX"/>
    <w:basedOn w:val="a"/>
    <w:rsid w:val="00ED683A"/>
    <w:pPr>
      <w:keepLines/>
      <w:ind w:left="1702" w:hanging="1418"/>
    </w:pPr>
  </w:style>
  <w:style w:type="paragraph" w:customStyle="1" w:styleId="FP">
    <w:name w:val="FP"/>
    <w:basedOn w:val="a"/>
    <w:rsid w:val="00ED683A"/>
    <w:pPr>
      <w:spacing w:after="0"/>
    </w:pPr>
  </w:style>
  <w:style w:type="paragraph" w:customStyle="1" w:styleId="LD">
    <w:name w:val="LD"/>
    <w:rsid w:val="00ED683A"/>
    <w:pPr>
      <w:keepNext/>
      <w:keepLines/>
      <w:overflowPunct w:val="0"/>
      <w:autoSpaceDE w:val="0"/>
      <w:autoSpaceDN w:val="0"/>
      <w:adjustRightInd w:val="0"/>
      <w:spacing w:line="180" w:lineRule="exact"/>
      <w:textAlignment w:val="baseline"/>
    </w:pPr>
    <w:rPr>
      <w:rFonts w:ascii="Courier New" w:hAnsi="Courier New"/>
      <w:noProof/>
      <w:lang w:val="fr-FR" w:eastAsia="zh-CN"/>
    </w:rPr>
  </w:style>
  <w:style w:type="paragraph" w:customStyle="1" w:styleId="NW">
    <w:name w:val="NW"/>
    <w:basedOn w:val="NO"/>
    <w:rsid w:val="00ED683A"/>
    <w:pPr>
      <w:spacing w:after="0"/>
    </w:pPr>
  </w:style>
  <w:style w:type="paragraph" w:customStyle="1" w:styleId="EW">
    <w:name w:val="EW"/>
    <w:basedOn w:val="EX"/>
    <w:rsid w:val="00ED683A"/>
    <w:pPr>
      <w:spacing w:after="0"/>
    </w:pPr>
  </w:style>
  <w:style w:type="paragraph" w:styleId="60">
    <w:name w:val="toc 6"/>
    <w:basedOn w:val="50"/>
    <w:next w:val="a"/>
    <w:semiHidden/>
    <w:rsid w:val="00ED683A"/>
    <w:pPr>
      <w:ind w:left="1985" w:hanging="1985"/>
    </w:pPr>
  </w:style>
  <w:style w:type="paragraph" w:styleId="70">
    <w:name w:val="toc 7"/>
    <w:basedOn w:val="60"/>
    <w:next w:val="a"/>
    <w:semiHidden/>
    <w:rsid w:val="00ED683A"/>
    <w:pPr>
      <w:ind w:left="2268" w:hanging="2268"/>
    </w:pPr>
  </w:style>
  <w:style w:type="paragraph" w:styleId="23">
    <w:name w:val="List Bullet 2"/>
    <w:basedOn w:val="a7"/>
    <w:rsid w:val="00ED683A"/>
    <w:pPr>
      <w:ind w:left="851"/>
    </w:pPr>
  </w:style>
  <w:style w:type="paragraph" w:styleId="32">
    <w:name w:val="List Bullet 3"/>
    <w:basedOn w:val="23"/>
    <w:rsid w:val="00ED683A"/>
    <w:pPr>
      <w:ind w:left="1135"/>
    </w:pPr>
  </w:style>
  <w:style w:type="paragraph" w:styleId="a3">
    <w:name w:val="List Number"/>
    <w:basedOn w:val="a8"/>
    <w:rsid w:val="00ED683A"/>
  </w:style>
  <w:style w:type="paragraph" w:customStyle="1" w:styleId="EQ">
    <w:name w:val="EQ"/>
    <w:basedOn w:val="a"/>
    <w:next w:val="a"/>
    <w:rsid w:val="00ED683A"/>
    <w:pPr>
      <w:keepLines/>
      <w:tabs>
        <w:tab w:val="center" w:pos="4536"/>
        <w:tab w:val="right" w:pos="9072"/>
      </w:tabs>
    </w:pPr>
    <w:rPr>
      <w:noProof/>
    </w:rPr>
  </w:style>
  <w:style w:type="paragraph" w:customStyle="1" w:styleId="TH">
    <w:name w:val="TH"/>
    <w:basedOn w:val="a"/>
    <w:link w:val="THChar"/>
    <w:rsid w:val="00ED683A"/>
    <w:pPr>
      <w:keepNext/>
      <w:keepLines/>
      <w:spacing w:before="60"/>
      <w:jc w:val="center"/>
    </w:pPr>
    <w:rPr>
      <w:rFonts w:ascii="Arial" w:hAnsi="Arial"/>
      <w:b/>
    </w:rPr>
  </w:style>
  <w:style w:type="paragraph" w:customStyle="1" w:styleId="NF">
    <w:name w:val="NF"/>
    <w:basedOn w:val="NO"/>
    <w:rsid w:val="00ED683A"/>
    <w:pPr>
      <w:keepNext/>
      <w:spacing w:after="0"/>
    </w:pPr>
    <w:rPr>
      <w:rFonts w:ascii="Arial" w:hAnsi="Arial"/>
      <w:sz w:val="18"/>
    </w:rPr>
  </w:style>
  <w:style w:type="paragraph" w:customStyle="1" w:styleId="PL">
    <w:name w:val="PL"/>
    <w:rsid w:val="00ED6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zh-CN"/>
    </w:rPr>
  </w:style>
  <w:style w:type="paragraph" w:customStyle="1" w:styleId="TAR">
    <w:name w:val="TAR"/>
    <w:basedOn w:val="TAL"/>
    <w:rsid w:val="00ED683A"/>
    <w:pPr>
      <w:jc w:val="right"/>
    </w:pPr>
  </w:style>
  <w:style w:type="paragraph" w:customStyle="1" w:styleId="H6">
    <w:name w:val="H6"/>
    <w:basedOn w:val="5"/>
    <w:next w:val="a"/>
    <w:rsid w:val="00ED683A"/>
    <w:pPr>
      <w:ind w:left="1985" w:hanging="1985"/>
      <w:outlineLvl w:val="9"/>
    </w:pPr>
    <w:rPr>
      <w:sz w:val="20"/>
    </w:rPr>
  </w:style>
  <w:style w:type="paragraph" w:customStyle="1" w:styleId="TAN">
    <w:name w:val="TAN"/>
    <w:basedOn w:val="TAL"/>
    <w:rsid w:val="00ED683A"/>
    <w:pPr>
      <w:ind w:left="851" w:hanging="851"/>
    </w:pPr>
  </w:style>
  <w:style w:type="paragraph" w:customStyle="1" w:styleId="TAL">
    <w:name w:val="TAL"/>
    <w:basedOn w:val="a"/>
    <w:rsid w:val="00ED683A"/>
    <w:pPr>
      <w:keepNext/>
      <w:keepLines/>
      <w:spacing w:after="0"/>
    </w:pPr>
    <w:rPr>
      <w:rFonts w:ascii="Arial" w:hAnsi="Arial"/>
      <w:sz w:val="18"/>
    </w:rPr>
  </w:style>
  <w:style w:type="paragraph" w:customStyle="1" w:styleId="ZA">
    <w:name w:val="ZA"/>
    <w:rsid w:val="00ED68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zh-CN"/>
    </w:rPr>
  </w:style>
  <w:style w:type="paragraph" w:customStyle="1" w:styleId="ZB">
    <w:name w:val="ZB"/>
    <w:rsid w:val="00ED68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zh-CN"/>
    </w:rPr>
  </w:style>
  <w:style w:type="paragraph" w:customStyle="1" w:styleId="ZD">
    <w:name w:val="ZD"/>
    <w:rsid w:val="00ED683A"/>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zh-CN"/>
    </w:rPr>
  </w:style>
  <w:style w:type="paragraph" w:customStyle="1" w:styleId="ZU">
    <w:name w:val="ZU"/>
    <w:rsid w:val="00ED68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zh-CN"/>
    </w:rPr>
  </w:style>
  <w:style w:type="paragraph" w:customStyle="1" w:styleId="ZV">
    <w:name w:val="ZV"/>
    <w:basedOn w:val="ZU"/>
    <w:rsid w:val="00ED683A"/>
    <w:pPr>
      <w:framePr w:wrap="notBeside" w:y="16161"/>
    </w:pPr>
  </w:style>
  <w:style w:type="character" w:customStyle="1" w:styleId="ZGSM">
    <w:name w:val="ZGSM"/>
    <w:rsid w:val="00ED683A"/>
  </w:style>
  <w:style w:type="paragraph" w:styleId="24">
    <w:name w:val="List 2"/>
    <w:basedOn w:val="a8"/>
    <w:rsid w:val="00ED683A"/>
    <w:pPr>
      <w:ind w:left="851"/>
    </w:pPr>
  </w:style>
  <w:style w:type="paragraph" w:customStyle="1" w:styleId="ZG">
    <w:name w:val="ZG"/>
    <w:rsid w:val="00ED683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zh-CN"/>
    </w:rPr>
  </w:style>
  <w:style w:type="paragraph" w:styleId="33">
    <w:name w:val="List 3"/>
    <w:basedOn w:val="24"/>
    <w:rsid w:val="00ED683A"/>
    <w:pPr>
      <w:ind w:left="1135"/>
    </w:pPr>
  </w:style>
  <w:style w:type="paragraph" w:styleId="41">
    <w:name w:val="List 4"/>
    <w:basedOn w:val="33"/>
    <w:rsid w:val="00ED683A"/>
    <w:pPr>
      <w:ind w:left="1418"/>
    </w:pPr>
  </w:style>
  <w:style w:type="paragraph" w:styleId="51">
    <w:name w:val="List 5"/>
    <w:basedOn w:val="41"/>
    <w:rsid w:val="00ED683A"/>
    <w:pPr>
      <w:ind w:left="1702"/>
    </w:pPr>
  </w:style>
  <w:style w:type="paragraph" w:customStyle="1" w:styleId="EditorsNote">
    <w:name w:val="Editor's Note"/>
    <w:basedOn w:val="NO"/>
    <w:rsid w:val="00ED683A"/>
    <w:rPr>
      <w:color w:val="FF0000"/>
    </w:rPr>
  </w:style>
  <w:style w:type="paragraph" w:styleId="a8">
    <w:name w:val="List"/>
    <w:basedOn w:val="a"/>
    <w:rsid w:val="00ED683A"/>
    <w:pPr>
      <w:ind w:left="568" w:hanging="284"/>
    </w:pPr>
  </w:style>
  <w:style w:type="paragraph" w:styleId="a7">
    <w:name w:val="List Bullet"/>
    <w:basedOn w:val="a8"/>
    <w:rsid w:val="00ED683A"/>
  </w:style>
  <w:style w:type="paragraph" w:styleId="42">
    <w:name w:val="List Bullet 4"/>
    <w:basedOn w:val="32"/>
    <w:rsid w:val="00ED683A"/>
    <w:pPr>
      <w:ind w:left="1418"/>
    </w:pPr>
  </w:style>
  <w:style w:type="paragraph" w:styleId="52">
    <w:name w:val="List Bullet 5"/>
    <w:basedOn w:val="42"/>
    <w:rsid w:val="00ED683A"/>
    <w:pPr>
      <w:ind w:left="1702"/>
    </w:pPr>
  </w:style>
  <w:style w:type="paragraph" w:customStyle="1" w:styleId="B1">
    <w:name w:val="B1"/>
    <w:basedOn w:val="a8"/>
    <w:link w:val="B10"/>
    <w:rsid w:val="00ED683A"/>
    <w:rPr>
      <w:rFonts w:ascii="CG Times (WN)" w:hAnsi="CG Times (WN)"/>
    </w:rPr>
  </w:style>
  <w:style w:type="paragraph" w:customStyle="1" w:styleId="B2">
    <w:name w:val="B2"/>
    <w:basedOn w:val="24"/>
    <w:rsid w:val="00ED683A"/>
  </w:style>
  <w:style w:type="paragraph" w:customStyle="1" w:styleId="B3">
    <w:name w:val="B3"/>
    <w:basedOn w:val="33"/>
    <w:rsid w:val="00ED683A"/>
  </w:style>
  <w:style w:type="paragraph" w:customStyle="1" w:styleId="B4">
    <w:name w:val="B4"/>
    <w:basedOn w:val="41"/>
    <w:rsid w:val="00ED683A"/>
  </w:style>
  <w:style w:type="paragraph" w:customStyle="1" w:styleId="B5">
    <w:name w:val="B5"/>
    <w:basedOn w:val="51"/>
    <w:rsid w:val="00ED683A"/>
  </w:style>
  <w:style w:type="paragraph" w:styleId="a9">
    <w:name w:val="footer"/>
    <w:basedOn w:val="a4"/>
    <w:rsid w:val="00ED683A"/>
    <w:pPr>
      <w:jc w:val="center"/>
    </w:pPr>
    <w:rPr>
      <w:i/>
    </w:rPr>
  </w:style>
  <w:style w:type="paragraph" w:customStyle="1" w:styleId="ZTD">
    <w:name w:val="ZTD"/>
    <w:basedOn w:val="ZB"/>
    <w:rsid w:val="00ED683A"/>
    <w:pPr>
      <w:framePr w:hRule="auto" w:wrap="notBeside" w:y="852"/>
    </w:pPr>
    <w:rPr>
      <w:i w:val="0"/>
      <w:sz w:val="40"/>
    </w:rPr>
  </w:style>
  <w:style w:type="paragraph" w:styleId="aa">
    <w:name w:val="Body Text"/>
    <w:basedOn w:val="a"/>
    <w:link w:val="Char0"/>
    <w:rsid w:val="00E613BB"/>
    <w:pPr>
      <w:overflowPunct/>
      <w:autoSpaceDE/>
      <w:autoSpaceDN/>
      <w:adjustRightInd/>
      <w:spacing w:after="120"/>
      <w:jc w:val="both"/>
      <w:textAlignment w:val="auto"/>
    </w:pPr>
    <w:rPr>
      <w:rFonts w:ascii="Times" w:hAnsi="Times"/>
      <w:szCs w:val="24"/>
      <w:lang w:eastAsia="en-US"/>
    </w:rPr>
  </w:style>
  <w:style w:type="character" w:styleId="ab">
    <w:name w:val="annotation reference"/>
    <w:semiHidden/>
    <w:rsid w:val="00F7614C"/>
    <w:rPr>
      <w:sz w:val="16"/>
      <w:szCs w:val="16"/>
    </w:rPr>
  </w:style>
  <w:style w:type="paragraph" w:styleId="ac">
    <w:name w:val="annotation text"/>
    <w:basedOn w:val="a"/>
    <w:semiHidden/>
    <w:rsid w:val="00F7614C"/>
  </w:style>
  <w:style w:type="paragraph" w:styleId="ad">
    <w:name w:val="annotation subject"/>
    <w:basedOn w:val="ac"/>
    <w:next w:val="ac"/>
    <w:semiHidden/>
    <w:rsid w:val="00F7614C"/>
    <w:rPr>
      <w:b/>
      <w:bCs/>
    </w:rPr>
  </w:style>
  <w:style w:type="paragraph" w:styleId="ae">
    <w:name w:val="Balloon Text"/>
    <w:basedOn w:val="a"/>
    <w:semiHidden/>
    <w:rsid w:val="00F7614C"/>
    <w:rPr>
      <w:rFonts w:ascii="Tahoma" w:hAnsi="Tahoma" w:cs="Tahoma"/>
      <w:sz w:val="16"/>
      <w:szCs w:val="16"/>
    </w:rPr>
  </w:style>
  <w:style w:type="paragraph" w:customStyle="1" w:styleId="Reference">
    <w:name w:val="Reference"/>
    <w:basedOn w:val="EX"/>
    <w:rsid w:val="00DB0775"/>
    <w:pPr>
      <w:tabs>
        <w:tab w:val="num" w:pos="720"/>
      </w:tabs>
      <w:suppressAutoHyphens/>
      <w:autoSpaceDN/>
      <w:adjustRightInd/>
      <w:ind w:left="0" w:firstLine="0"/>
    </w:pPr>
    <w:rPr>
      <w:lang w:eastAsia="ar-SA"/>
    </w:rPr>
  </w:style>
  <w:style w:type="paragraph" w:styleId="af">
    <w:name w:val="caption"/>
    <w:aliases w:val="cap,cap Char,Caption Char,Caption Char1 Char,cap Char Char1,Caption Char Char1 Char,cap Char2,cap1,cap2,cap11,Légende-figure,Légende-figure Char,Beschrifubg,Beschriftung Char,label,cap11 Char,cap11 Char Char Char,captions,Beschriftung Char Ch"/>
    <w:basedOn w:val="a"/>
    <w:next w:val="a"/>
    <w:link w:val="Char1"/>
    <w:qFormat/>
    <w:rsid w:val="00B41467"/>
    <w:pPr>
      <w:spacing w:before="120" w:after="120"/>
    </w:pPr>
    <w:rPr>
      <w:rFonts w:ascii="CG Times (WN)" w:hAnsi="CG Times (WN)"/>
      <w:b/>
    </w:rPr>
  </w:style>
  <w:style w:type="character" w:customStyle="1" w:styleId="Char1">
    <w:name w:val="캡션 Char"/>
    <w:aliases w:val="cap Char1,cap Char Char,Caption Char Char,Caption Char1 Char Char,cap Char Char1 Char,Caption Char Char1 Char Char,cap Char2 Char,cap1 Char,cap2 Char,cap11 Char1,Légende-figure Char1,Légende-figure Char Char,Beschrifubg Char,label Char"/>
    <w:link w:val="af"/>
    <w:rsid w:val="00B41467"/>
    <w:rPr>
      <w:b/>
      <w:lang w:val="en-GB" w:eastAsia="zh-CN" w:bidi="ar-SA"/>
    </w:rPr>
  </w:style>
  <w:style w:type="character" w:customStyle="1" w:styleId="B10">
    <w:name w:val="B1 (文字)"/>
    <w:link w:val="B1"/>
    <w:rsid w:val="00B41467"/>
    <w:rPr>
      <w:lang w:val="en-GB" w:eastAsia="zh-CN" w:bidi="ar-SA"/>
    </w:rPr>
  </w:style>
  <w:style w:type="character" w:customStyle="1" w:styleId="THChar">
    <w:name w:val="TH Char"/>
    <w:link w:val="TH"/>
    <w:rsid w:val="00B41467"/>
    <w:rPr>
      <w:rFonts w:ascii="Arial" w:hAnsi="Arial"/>
      <w:b/>
      <w:lang w:val="en-GB" w:eastAsia="zh-CN" w:bidi="ar-SA"/>
    </w:rPr>
  </w:style>
  <w:style w:type="character" w:customStyle="1" w:styleId="5Char">
    <w:name w:val="제목 5 Char"/>
    <w:aliases w:val="H5 Char,h5 Char,Heading5 Char,T5 Char,5 Char,heading 5 Char"/>
    <w:link w:val="5"/>
    <w:rsid w:val="00457CB8"/>
    <w:rPr>
      <w:rFonts w:ascii="Arial" w:hAnsi="Arial"/>
      <w:sz w:val="22"/>
      <w:lang w:val="en-GB" w:eastAsia="zh-CN" w:bidi="ar-SA"/>
    </w:rPr>
  </w:style>
  <w:style w:type="character" w:styleId="af0">
    <w:name w:val="Hyperlink"/>
    <w:rsid w:val="00AA0917"/>
    <w:rPr>
      <w:color w:val="0000FF"/>
      <w:u w:val="single"/>
    </w:rPr>
  </w:style>
  <w:style w:type="character" w:styleId="af1">
    <w:name w:val="Emphasis"/>
    <w:qFormat/>
    <w:rsid w:val="00D8225D"/>
    <w:rPr>
      <w:i/>
      <w:iC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6B2C17"/>
    <w:rPr>
      <w:rFonts w:ascii="Arial" w:hAnsi="Arial"/>
      <w:b/>
      <w:noProof/>
      <w:sz w:val="18"/>
      <w:lang w:val="fr-FR" w:eastAsia="zh-CN" w:bidi="ar-SA"/>
    </w:rPr>
  </w:style>
  <w:style w:type="paragraph" w:styleId="af2">
    <w:name w:val="List Paragraph"/>
    <w:basedOn w:val="a"/>
    <w:uiPriority w:val="34"/>
    <w:qFormat/>
    <w:rsid w:val="00197F5D"/>
    <w:pPr>
      <w:ind w:leftChars="400" w:left="800"/>
    </w:pPr>
  </w:style>
  <w:style w:type="paragraph" w:customStyle="1" w:styleId="Default">
    <w:name w:val="Default"/>
    <w:rsid w:val="000D5C6B"/>
    <w:pPr>
      <w:widowControl w:val="0"/>
      <w:autoSpaceDE w:val="0"/>
      <w:autoSpaceDN w:val="0"/>
      <w:adjustRightInd w:val="0"/>
    </w:pPr>
    <w:rPr>
      <w:rFonts w:ascii="Calibri" w:hAnsi="Calibri" w:cs="Calibri"/>
      <w:color w:val="000000"/>
      <w:sz w:val="24"/>
      <w:szCs w:val="24"/>
    </w:rPr>
  </w:style>
  <w:style w:type="paragraph" w:customStyle="1" w:styleId="tableentry">
    <w:name w:val="table entry"/>
    <w:basedOn w:val="a"/>
    <w:rsid w:val="00944E06"/>
    <w:pPr>
      <w:keepNext/>
      <w:overflowPunct/>
      <w:autoSpaceDE/>
      <w:autoSpaceDN/>
      <w:adjustRightInd/>
      <w:spacing w:before="40" w:after="40" w:line="280" w:lineRule="atLeast"/>
      <w:jc w:val="center"/>
      <w:textAlignment w:val="auto"/>
    </w:pPr>
    <w:rPr>
      <w:lang w:val="en-US" w:eastAsia="en-US"/>
    </w:rPr>
  </w:style>
  <w:style w:type="paragraph" w:customStyle="1" w:styleId="Tabletext">
    <w:name w:val="Table_text"/>
    <w:basedOn w:val="a"/>
    <w:rsid w:val="00EA50C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StyleGrasAvant18pt">
    <w:name w:val="Style Gras Avant : 18 pt"/>
    <w:basedOn w:val="1"/>
    <w:rsid w:val="00EA50C2"/>
    <w:pPr>
      <w:numPr>
        <w:numId w:val="5"/>
      </w:numPr>
      <w:pBdr>
        <w:top w:val="none" w:sz="0" w:space="0" w:color="auto"/>
      </w:pBdr>
      <w:tabs>
        <w:tab w:val="left" w:pos="1191"/>
        <w:tab w:val="left" w:pos="1588"/>
        <w:tab w:val="left" w:pos="1985"/>
      </w:tabs>
      <w:spacing w:before="360" w:after="0"/>
    </w:pPr>
    <w:rPr>
      <w:rFonts w:ascii="Times New Roman" w:eastAsia="SimSun" w:hAnsi="Times New Roman"/>
      <w:bCs/>
      <w:sz w:val="24"/>
      <w:lang w:eastAsia="en-US"/>
    </w:rPr>
  </w:style>
  <w:style w:type="paragraph" w:styleId="af3">
    <w:name w:val="Normal (Web)"/>
    <w:basedOn w:val="a"/>
    <w:uiPriority w:val="99"/>
    <w:unhideWhenUsed/>
    <w:rsid w:val="002D75DD"/>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Reptitle">
    <w:name w:val="Rep_title"/>
    <w:basedOn w:val="a"/>
    <w:next w:val="a"/>
    <w:rsid w:val="000B1711"/>
    <w:pPr>
      <w:keepNext/>
      <w:keepLines/>
      <w:tabs>
        <w:tab w:val="left" w:pos="794"/>
        <w:tab w:val="left" w:pos="1191"/>
        <w:tab w:val="left" w:pos="1588"/>
        <w:tab w:val="left" w:pos="1985"/>
      </w:tabs>
      <w:spacing w:before="240" w:after="0"/>
      <w:jc w:val="center"/>
    </w:pPr>
    <w:rPr>
      <w:rFonts w:eastAsia="바탕"/>
      <w:b/>
      <w:sz w:val="28"/>
      <w:lang w:val="fr-FR" w:eastAsia="en-US"/>
    </w:rPr>
  </w:style>
  <w:style w:type="paragraph" w:customStyle="1" w:styleId="Char1CharChar1Char">
    <w:name w:val="Char1 Char Char1 Char"/>
    <w:basedOn w:val="a"/>
    <w:rsid w:val="000B1711"/>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TACChar">
    <w:name w:val="TAC Char"/>
    <w:link w:val="TAC"/>
    <w:rsid w:val="00AB3191"/>
    <w:rPr>
      <w:rFonts w:ascii="Arial" w:hAnsi="Arial"/>
      <w:sz w:val="18"/>
      <w:lang w:val="en-GB" w:eastAsia="zh-CN"/>
    </w:rPr>
  </w:style>
  <w:style w:type="character" w:styleId="af4">
    <w:name w:val="Placeholder Text"/>
    <w:uiPriority w:val="99"/>
    <w:semiHidden/>
    <w:rsid w:val="00604828"/>
    <w:rPr>
      <w:color w:val="808080"/>
    </w:rPr>
  </w:style>
  <w:style w:type="table" w:styleId="af5">
    <w:name w:val="Table Grid"/>
    <w:basedOn w:val="a1"/>
    <w:rsid w:val="00E076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rsid w:val="00295139"/>
    <w:rPr>
      <w:lang w:val="en-GB"/>
    </w:rPr>
  </w:style>
  <w:style w:type="character" w:customStyle="1" w:styleId="Char0">
    <w:name w:val="본문 Char"/>
    <w:link w:val="aa"/>
    <w:rsid w:val="000174E3"/>
    <w:rPr>
      <w:rFonts w:ascii="Times" w:hAnsi="Times"/>
      <w:szCs w:val="24"/>
      <w:lang w:eastAsia="en-US"/>
    </w:rPr>
  </w:style>
  <w:style w:type="paragraph" w:customStyle="1" w:styleId="Comments">
    <w:name w:val="Comments"/>
    <w:basedOn w:val="a"/>
    <w:link w:val="CommentsChar"/>
    <w:qFormat/>
    <w:rsid w:val="007E02A9"/>
    <w:pPr>
      <w:overflowPunct/>
      <w:autoSpaceDE/>
      <w:autoSpaceDN/>
      <w:adjustRightInd/>
      <w:spacing w:before="40" w:after="0"/>
      <w:textAlignment w:val="auto"/>
    </w:pPr>
    <w:rPr>
      <w:rFonts w:ascii="Arial" w:hAnsi="Arial"/>
      <w:i/>
      <w:sz w:val="18"/>
      <w:szCs w:val="24"/>
      <w:lang w:eastAsia="en-GB"/>
    </w:rPr>
  </w:style>
  <w:style w:type="character" w:customStyle="1" w:styleId="CommentsChar">
    <w:name w:val="Comments Char"/>
    <w:link w:val="Comments"/>
    <w:rsid w:val="007E02A9"/>
    <w:rPr>
      <w:rFonts w:ascii="Arial" w:hAnsi="Arial"/>
      <w:i/>
      <w:sz w:val="18"/>
      <w:szCs w:val="24"/>
      <w:lang w:val="en-GB" w:eastAsia="en-GB"/>
    </w:rPr>
  </w:style>
  <w:style w:type="numbering" w:customStyle="1" w:styleId="3">
    <w:name w:val="現在のリスト3"/>
    <w:rsid w:val="000901C4"/>
    <w:pPr>
      <w:numPr>
        <w:numId w:val="38"/>
      </w:numPr>
    </w:pPr>
  </w:style>
  <w:style w:type="paragraph" w:styleId="af6">
    <w:name w:val="Revision"/>
    <w:hidden/>
    <w:uiPriority w:val="99"/>
    <w:semiHidden/>
    <w:rsid w:val="00523032"/>
    <w:rPr>
      <w:rFonts w:ascii="Times New Roman" w:hAnsi="Times New Roman"/>
      <w:lang w:val="en-GB" w:eastAsia="zh-CN"/>
    </w:rPr>
  </w:style>
</w:styles>
</file>

<file path=word/webSettings.xml><?xml version="1.0" encoding="utf-8"?>
<w:webSettings xmlns:r="http://schemas.openxmlformats.org/officeDocument/2006/relationships" xmlns:w="http://schemas.openxmlformats.org/wordprocessingml/2006/main">
  <w:divs>
    <w:div w:id="33115792">
      <w:bodyDiv w:val="1"/>
      <w:marLeft w:val="0"/>
      <w:marRight w:val="0"/>
      <w:marTop w:val="0"/>
      <w:marBottom w:val="0"/>
      <w:divBdr>
        <w:top w:val="none" w:sz="0" w:space="0" w:color="auto"/>
        <w:left w:val="none" w:sz="0" w:space="0" w:color="auto"/>
        <w:bottom w:val="none" w:sz="0" w:space="0" w:color="auto"/>
        <w:right w:val="none" w:sz="0" w:space="0" w:color="auto"/>
      </w:divBdr>
    </w:div>
    <w:div w:id="78334665">
      <w:bodyDiv w:val="1"/>
      <w:marLeft w:val="0"/>
      <w:marRight w:val="0"/>
      <w:marTop w:val="0"/>
      <w:marBottom w:val="0"/>
      <w:divBdr>
        <w:top w:val="none" w:sz="0" w:space="0" w:color="auto"/>
        <w:left w:val="none" w:sz="0" w:space="0" w:color="auto"/>
        <w:bottom w:val="none" w:sz="0" w:space="0" w:color="auto"/>
        <w:right w:val="none" w:sz="0" w:space="0" w:color="auto"/>
      </w:divBdr>
      <w:divsChild>
        <w:div w:id="7029188">
          <w:marLeft w:val="0"/>
          <w:marRight w:val="0"/>
          <w:marTop w:val="0"/>
          <w:marBottom w:val="0"/>
          <w:divBdr>
            <w:top w:val="none" w:sz="0" w:space="0" w:color="auto"/>
            <w:left w:val="none" w:sz="0" w:space="0" w:color="auto"/>
            <w:bottom w:val="none" w:sz="0" w:space="0" w:color="auto"/>
            <w:right w:val="none" w:sz="0" w:space="0" w:color="auto"/>
          </w:divBdr>
        </w:div>
      </w:divsChild>
    </w:div>
    <w:div w:id="88434281">
      <w:bodyDiv w:val="1"/>
      <w:marLeft w:val="0"/>
      <w:marRight w:val="0"/>
      <w:marTop w:val="0"/>
      <w:marBottom w:val="0"/>
      <w:divBdr>
        <w:top w:val="none" w:sz="0" w:space="0" w:color="auto"/>
        <w:left w:val="none" w:sz="0" w:space="0" w:color="auto"/>
        <w:bottom w:val="none" w:sz="0" w:space="0" w:color="auto"/>
        <w:right w:val="none" w:sz="0" w:space="0" w:color="auto"/>
      </w:divBdr>
    </w:div>
    <w:div w:id="148252757">
      <w:bodyDiv w:val="1"/>
      <w:marLeft w:val="0"/>
      <w:marRight w:val="0"/>
      <w:marTop w:val="0"/>
      <w:marBottom w:val="0"/>
      <w:divBdr>
        <w:top w:val="none" w:sz="0" w:space="0" w:color="auto"/>
        <w:left w:val="none" w:sz="0" w:space="0" w:color="auto"/>
        <w:bottom w:val="none" w:sz="0" w:space="0" w:color="auto"/>
        <w:right w:val="none" w:sz="0" w:space="0" w:color="auto"/>
      </w:divBdr>
    </w:div>
    <w:div w:id="157308471">
      <w:bodyDiv w:val="1"/>
      <w:marLeft w:val="0"/>
      <w:marRight w:val="0"/>
      <w:marTop w:val="0"/>
      <w:marBottom w:val="0"/>
      <w:divBdr>
        <w:top w:val="none" w:sz="0" w:space="0" w:color="auto"/>
        <w:left w:val="none" w:sz="0" w:space="0" w:color="auto"/>
        <w:bottom w:val="none" w:sz="0" w:space="0" w:color="auto"/>
        <w:right w:val="none" w:sz="0" w:space="0" w:color="auto"/>
      </w:divBdr>
    </w:div>
    <w:div w:id="198206494">
      <w:bodyDiv w:val="1"/>
      <w:marLeft w:val="0"/>
      <w:marRight w:val="0"/>
      <w:marTop w:val="0"/>
      <w:marBottom w:val="0"/>
      <w:divBdr>
        <w:top w:val="none" w:sz="0" w:space="0" w:color="auto"/>
        <w:left w:val="none" w:sz="0" w:space="0" w:color="auto"/>
        <w:bottom w:val="none" w:sz="0" w:space="0" w:color="auto"/>
        <w:right w:val="none" w:sz="0" w:space="0" w:color="auto"/>
      </w:divBdr>
    </w:div>
    <w:div w:id="275019231">
      <w:bodyDiv w:val="1"/>
      <w:marLeft w:val="0"/>
      <w:marRight w:val="0"/>
      <w:marTop w:val="0"/>
      <w:marBottom w:val="0"/>
      <w:divBdr>
        <w:top w:val="none" w:sz="0" w:space="0" w:color="auto"/>
        <w:left w:val="none" w:sz="0" w:space="0" w:color="auto"/>
        <w:bottom w:val="none" w:sz="0" w:space="0" w:color="auto"/>
        <w:right w:val="none" w:sz="0" w:space="0" w:color="auto"/>
      </w:divBdr>
    </w:div>
    <w:div w:id="280571911">
      <w:bodyDiv w:val="1"/>
      <w:marLeft w:val="0"/>
      <w:marRight w:val="0"/>
      <w:marTop w:val="0"/>
      <w:marBottom w:val="0"/>
      <w:divBdr>
        <w:top w:val="none" w:sz="0" w:space="0" w:color="auto"/>
        <w:left w:val="none" w:sz="0" w:space="0" w:color="auto"/>
        <w:bottom w:val="none" w:sz="0" w:space="0" w:color="auto"/>
        <w:right w:val="none" w:sz="0" w:space="0" w:color="auto"/>
      </w:divBdr>
    </w:div>
    <w:div w:id="284384102">
      <w:bodyDiv w:val="1"/>
      <w:marLeft w:val="0"/>
      <w:marRight w:val="0"/>
      <w:marTop w:val="0"/>
      <w:marBottom w:val="0"/>
      <w:divBdr>
        <w:top w:val="none" w:sz="0" w:space="0" w:color="auto"/>
        <w:left w:val="none" w:sz="0" w:space="0" w:color="auto"/>
        <w:bottom w:val="none" w:sz="0" w:space="0" w:color="auto"/>
        <w:right w:val="none" w:sz="0" w:space="0" w:color="auto"/>
      </w:divBdr>
    </w:div>
    <w:div w:id="348334766">
      <w:bodyDiv w:val="1"/>
      <w:marLeft w:val="0"/>
      <w:marRight w:val="0"/>
      <w:marTop w:val="0"/>
      <w:marBottom w:val="0"/>
      <w:divBdr>
        <w:top w:val="none" w:sz="0" w:space="0" w:color="auto"/>
        <w:left w:val="none" w:sz="0" w:space="0" w:color="auto"/>
        <w:bottom w:val="none" w:sz="0" w:space="0" w:color="auto"/>
        <w:right w:val="none" w:sz="0" w:space="0" w:color="auto"/>
      </w:divBdr>
    </w:div>
    <w:div w:id="377818813">
      <w:bodyDiv w:val="1"/>
      <w:marLeft w:val="0"/>
      <w:marRight w:val="0"/>
      <w:marTop w:val="0"/>
      <w:marBottom w:val="0"/>
      <w:divBdr>
        <w:top w:val="none" w:sz="0" w:space="0" w:color="auto"/>
        <w:left w:val="none" w:sz="0" w:space="0" w:color="auto"/>
        <w:bottom w:val="none" w:sz="0" w:space="0" w:color="auto"/>
        <w:right w:val="none" w:sz="0" w:space="0" w:color="auto"/>
      </w:divBdr>
    </w:div>
    <w:div w:id="381175608">
      <w:bodyDiv w:val="1"/>
      <w:marLeft w:val="0"/>
      <w:marRight w:val="0"/>
      <w:marTop w:val="0"/>
      <w:marBottom w:val="0"/>
      <w:divBdr>
        <w:top w:val="none" w:sz="0" w:space="0" w:color="auto"/>
        <w:left w:val="none" w:sz="0" w:space="0" w:color="auto"/>
        <w:bottom w:val="none" w:sz="0" w:space="0" w:color="auto"/>
        <w:right w:val="none" w:sz="0" w:space="0" w:color="auto"/>
      </w:divBdr>
    </w:div>
    <w:div w:id="444076193">
      <w:bodyDiv w:val="1"/>
      <w:marLeft w:val="0"/>
      <w:marRight w:val="0"/>
      <w:marTop w:val="0"/>
      <w:marBottom w:val="0"/>
      <w:divBdr>
        <w:top w:val="none" w:sz="0" w:space="0" w:color="auto"/>
        <w:left w:val="none" w:sz="0" w:space="0" w:color="auto"/>
        <w:bottom w:val="none" w:sz="0" w:space="0" w:color="auto"/>
        <w:right w:val="none" w:sz="0" w:space="0" w:color="auto"/>
      </w:divBdr>
    </w:div>
    <w:div w:id="470101486">
      <w:bodyDiv w:val="1"/>
      <w:marLeft w:val="0"/>
      <w:marRight w:val="0"/>
      <w:marTop w:val="0"/>
      <w:marBottom w:val="0"/>
      <w:divBdr>
        <w:top w:val="none" w:sz="0" w:space="0" w:color="auto"/>
        <w:left w:val="none" w:sz="0" w:space="0" w:color="auto"/>
        <w:bottom w:val="none" w:sz="0" w:space="0" w:color="auto"/>
        <w:right w:val="none" w:sz="0" w:space="0" w:color="auto"/>
      </w:divBdr>
    </w:div>
    <w:div w:id="475606098">
      <w:bodyDiv w:val="1"/>
      <w:marLeft w:val="0"/>
      <w:marRight w:val="0"/>
      <w:marTop w:val="0"/>
      <w:marBottom w:val="0"/>
      <w:divBdr>
        <w:top w:val="none" w:sz="0" w:space="0" w:color="auto"/>
        <w:left w:val="none" w:sz="0" w:space="0" w:color="auto"/>
        <w:bottom w:val="none" w:sz="0" w:space="0" w:color="auto"/>
        <w:right w:val="none" w:sz="0" w:space="0" w:color="auto"/>
      </w:divBdr>
    </w:div>
    <w:div w:id="481048999">
      <w:bodyDiv w:val="1"/>
      <w:marLeft w:val="0"/>
      <w:marRight w:val="0"/>
      <w:marTop w:val="0"/>
      <w:marBottom w:val="0"/>
      <w:divBdr>
        <w:top w:val="none" w:sz="0" w:space="0" w:color="auto"/>
        <w:left w:val="none" w:sz="0" w:space="0" w:color="auto"/>
        <w:bottom w:val="none" w:sz="0" w:space="0" w:color="auto"/>
        <w:right w:val="none" w:sz="0" w:space="0" w:color="auto"/>
      </w:divBdr>
    </w:div>
    <w:div w:id="515731513">
      <w:bodyDiv w:val="1"/>
      <w:marLeft w:val="0"/>
      <w:marRight w:val="0"/>
      <w:marTop w:val="0"/>
      <w:marBottom w:val="0"/>
      <w:divBdr>
        <w:top w:val="none" w:sz="0" w:space="0" w:color="auto"/>
        <w:left w:val="none" w:sz="0" w:space="0" w:color="auto"/>
        <w:bottom w:val="none" w:sz="0" w:space="0" w:color="auto"/>
        <w:right w:val="none" w:sz="0" w:space="0" w:color="auto"/>
      </w:divBdr>
    </w:div>
    <w:div w:id="617105814">
      <w:bodyDiv w:val="1"/>
      <w:marLeft w:val="0"/>
      <w:marRight w:val="0"/>
      <w:marTop w:val="0"/>
      <w:marBottom w:val="0"/>
      <w:divBdr>
        <w:top w:val="none" w:sz="0" w:space="0" w:color="auto"/>
        <w:left w:val="none" w:sz="0" w:space="0" w:color="auto"/>
        <w:bottom w:val="none" w:sz="0" w:space="0" w:color="auto"/>
        <w:right w:val="none" w:sz="0" w:space="0" w:color="auto"/>
      </w:divBdr>
    </w:div>
    <w:div w:id="663632449">
      <w:bodyDiv w:val="1"/>
      <w:marLeft w:val="0"/>
      <w:marRight w:val="0"/>
      <w:marTop w:val="0"/>
      <w:marBottom w:val="0"/>
      <w:divBdr>
        <w:top w:val="none" w:sz="0" w:space="0" w:color="auto"/>
        <w:left w:val="none" w:sz="0" w:space="0" w:color="auto"/>
        <w:bottom w:val="none" w:sz="0" w:space="0" w:color="auto"/>
        <w:right w:val="none" w:sz="0" w:space="0" w:color="auto"/>
      </w:divBdr>
    </w:div>
    <w:div w:id="680470926">
      <w:bodyDiv w:val="1"/>
      <w:marLeft w:val="0"/>
      <w:marRight w:val="0"/>
      <w:marTop w:val="0"/>
      <w:marBottom w:val="0"/>
      <w:divBdr>
        <w:top w:val="none" w:sz="0" w:space="0" w:color="auto"/>
        <w:left w:val="none" w:sz="0" w:space="0" w:color="auto"/>
        <w:bottom w:val="none" w:sz="0" w:space="0" w:color="auto"/>
        <w:right w:val="none" w:sz="0" w:space="0" w:color="auto"/>
      </w:divBdr>
    </w:div>
    <w:div w:id="707610488">
      <w:bodyDiv w:val="1"/>
      <w:marLeft w:val="0"/>
      <w:marRight w:val="0"/>
      <w:marTop w:val="0"/>
      <w:marBottom w:val="0"/>
      <w:divBdr>
        <w:top w:val="none" w:sz="0" w:space="0" w:color="auto"/>
        <w:left w:val="none" w:sz="0" w:space="0" w:color="auto"/>
        <w:bottom w:val="none" w:sz="0" w:space="0" w:color="auto"/>
        <w:right w:val="none" w:sz="0" w:space="0" w:color="auto"/>
      </w:divBdr>
    </w:div>
    <w:div w:id="725758957">
      <w:bodyDiv w:val="1"/>
      <w:marLeft w:val="0"/>
      <w:marRight w:val="0"/>
      <w:marTop w:val="0"/>
      <w:marBottom w:val="0"/>
      <w:divBdr>
        <w:top w:val="none" w:sz="0" w:space="0" w:color="auto"/>
        <w:left w:val="none" w:sz="0" w:space="0" w:color="auto"/>
        <w:bottom w:val="none" w:sz="0" w:space="0" w:color="auto"/>
        <w:right w:val="none" w:sz="0" w:space="0" w:color="auto"/>
      </w:divBdr>
    </w:div>
    <w:div w:id="754203057">
      <w:bodyDiv w:val="1"/>
      <w:marLeft w:val="0"/>
      <w:marRight w:val="0"/>
      <w:marTop w:val="0"/>
      <w:marBottom w:val="0"/>
      <w:divBdr>
        <w:top w:val="none" w:sz="0" w:space="0" w:color="auto"/>
        <w:left w:val="none" w:sz="0" w:space="0" w:color="auto"/>
        <w:bottom w:val="none" w:sz="0" w:space="0" w:color="auto"/>
        <w:right w:val="none" w:sz="0" w:space="0" w:color="auto"/>
      </w:divBdr>
    </w:div>
    <w:div w:id="767967479">
      <w:bodyDiv w:val="1"/>
      <w:marLeft w:val="0"/>
      <w:marRight w:val="0"/>
      <w:marTop w:val="0"/>
      <w:marBottom w:val="0"/>
      <w:divBdr>
        <w:top w:val="none" w:sz="0" w:space="0" w:color="auto"/>
        <w:left w:val="none" w:sz="0" w:space="0" w:color="auto"/>
        <w:bottom w:val="none" w:sz="0" w:space="0" w:color="auto"/>
        <w:right w:val="none" w:sz="0" w:space="0" w:color="auto"/>
      </w:divBdr>
    </w:div>
    <w:div w:id="782967365">
      <w:bodyDiv w:val="1"/>
      <w:marLeft w:val="0"/>
      <w:marRight w:val="0"/>
      <w:marTop w:val="0"/>
      <w:marBottom w:val="0"/>
      <w:divBdr>
        <w:top w:val="none" w:sz="0" w:space="0" w:color="auto"/>
        <w:left w:val="none" w:sz="0" w:space="0" w:color="auto"/>
        <w:bottom w:val="none" w:sz="0" w:space="0" w:color="auto"/>
        <w:right w:val="none" w:sz="0" w:space="0" w:color="auto"/>
      </w:divBdr>
    </w:div>
    <w:div w:id="841824259">
      <w:bodyDiv w:val="1"/>
      <w:marLeft w:val="0"/>
      <w:marRight w:val="0"/>
      <w:marTop w:val="0"/>
      <w:marBottom w:val="0"/>
      <w:divBdr>
        <w:top w:val="none" w:sz="0" w:space="0" w:color="auto"/>
        <w:left w:val="none" w:sz="0" w:space="0" w:color="auto"/>
        <w:bottom w:val="none" w:sz="0" w:space="0" w:color="auto"/>
        <w:right w:val="none" w:sz="0" w:space="0" w:color="auto"/>
      </w:divBdr>
    </w:div>
    <w:div w:id="855924666">
      <w:bodyDiv w:val="1"/>
      <w:marLeft w:val="0"/>
      <w:marRight w:val="0"/>
      <w:marTop w:val="0"/>
      <w:marBottom w:val="0"/>
      <w:divBdr>
        <w:top w:val="none" w:sz="0" w:space="0" w:color="auto"/>
        <w:left w:val="none" w:sz="0" w:space="0" w:color="auto"/>
        <w:bottom w:val="none" w:sz="0" w:space="0" w:color="auto"/>
        <w:right w:val="none" w:sz="0" w:space="0" w:color="auto"/>
      </w:divBdr>
    </w:div>
    <w:div w:id="865096411">
      <w:bodyDiv w:val="1"/>
      <w:marLeft w:val="0"/>
      <w:marRight w:val="0"/>
      <w:marTop w:val="0"/>
      <w:marBottom w:val="0"/>
      <w:divBdr>
        <w:top w:val="none" w:sz="0" w:space="0" w:color="auto"/>
        <w:left w:val="none" w:sz="0" w:space="0" w:color="auto"/>
        <w:bottom w:val="none" w:sz="0" w:space="0" w:color="auto"/>
        <w:right w:val="none" w:sz="0" w:space="0" w:color="auto"/>
      </w:divBdr>
    </w:div>
    <w:div w:id="891502497">
      <w:bodyDiv w:val="1"/>
      <w:marLeft w:val="0"/>
      <w:marRight w:val="0"/>
      <w:marTop w:val="0"/>
      <w:marBottom w:val="0"/>
      <w:divBdr>
        <w:top w:val="none" w:sz="0" w:space="0" w:color="auto"/>
        <w:left w:val="none" w:sz="0" w:space="0" w:color="auto"/>
        <w:bottom w:val="none" w:sz="0" w:space="0" w:color="auto"/>
        <w:right w:val="none" w:sz="0" w:space="0" w:color="auto"/>
      </w:divBdr>
    </w:div>
    <w:div w:id="896862470">
      <w:bodyDiv w:val="1"/>
      <w:marLeft w:val="0"/>
      <w:marRight w:val="0"/>
      <w:marTop w:val="0"/>
      <w:marBottom w:val="0"/>
      <w:divBdr>
        <w:top w:val="none" w:sz="0" w:space="0" w:color="auto"/>
        <w:left w:val="none" w:sz="0" w:space="0" w:color="auto"/>
        <w:bottom w:val="none" w:sz="0" w:space="0" w:color="auto"/>
        <w:right w:val="none" w:sz="0" w:space="0" w:color="auto"/>
      </w:divBdr>
    </w:div>
    <w:div w:id="916980660">
      <w:bodyDiv w:val="1"/>
      <w:marLeft w:val="0"/>
      <w:marRight w:val="0"/>
      <w:marTop w:val="0"/>
      <w:marBottom w:val="0"/>
      <w:divBdr>
        <w:top w:val="none" w:sz="0" w:space="0" w:color="auto"/>
        <w:left w:val="none" w:sz="0" w:space="0" w:color="auto"/>
        <w:bottom w:val="none" w:sz="0" w:space="0" w:color="auto"/>
        <w:right w:val="none" w:sz="0" w:space="0" w:color="auto"/>
      </w:divBdr>
    </w:div>
    <w:div w:id="929506898">
      <w:bodyDiv w:val="1"/>
      <w:marLeft w:val="0"/>
      <w:marRight w:val="0"/>
      <w:marTop w:val="0"/>
      <w:marBottom w:val="0"/>
      <w:divBdr>
        <w:top w:val="none" w:sz="0" w:space="0" w:color="auto"/>
        <w:left w:val="none" w:sz="0" w:space="0" w:color="auto"/>
        <w:bottom w:val="none" w:sz="0" w:space="0" w:color="auto"/>
        <w:right w:val="none" w:sz="0" w:space="0" w:color="auto"/>
      </w:divBdr>
    </w:div>
    <w:div w:id="931668006">
      <w:bodyDiv w:val="1"/>
      <w:marLeft w:val="0"/>
      <w:marRight w:val="0"/>
      <w:marTop w:val="0"/>
      <w:marBottom w:val="0"/>
      <w:divBdr>
        <w:top w:val="none" w:sz="0" w:space="0" w:color="auto"/>
        <w:left w:val="none" w:sz="0" w:space="0" w:color="auto"/>
        <w:bottom w:val="none" w:sz="0" w:space="0" w:color="auto"/>
        <w:right w:val="none" w:sz="0" w:space="0" w:color="auto"/>
      </w:divBdr>
    </w:div>
    <w:div w:id="942541418">
      <w:bodyDiv w:val="1"/>
      <w:marLeft w:val="0"/>
      <w:marRight w:val="0"/>
      <w:marTop w:val="0"/>
      <w:marBottom w:val="0"/>
      <w:divBdr>
        <w:top w:val="none" w:sz="0" w:space="0" w:color="auto"/>
        <w:left w:val="none" w:sz="0" w:space="0" w:color="auto"/>
        <w:bottom w:val="none" w:sz="0" w:space="0" w:color="auto"/>
        <w:right w:val="none" w:sz="0" w:space="0" w:color="auto"/>
      </w:divBdr>
    </w:div>
    <w:div w:id="969047349">
      <w:bodyDiv w:val="1"/>
      <w:marLeft w:val="0"/>
      <w:marRight w:val="0"/>
      <w:marTop w:val="0"/>
      <w:marBottom w:val="0"/>
      <w:divBdr>
        <w:top w:val="none" w:sz="0" w:space="0" w:color="auto"/>
        <w:left w:val="none" w:sz="0" w:space="0" w:color="auto"/>
        <w:bottom w:val="none" w:sz="0" w:space="0" w:color="auto"/>
        <w:right w:val="none" w:sz="0" w:space="0" w:color="auto"/>
      </w:divBdr>
    </w:div>
    <w:div w:id="1009677400">
      <w:bodyDiv w:val="1"/>
      <w:marLeft w:val="0"/>
      <w:marRight w:val="0"/>
      <w:marTop w:val="0"/>
      <w:marBottom w:val="0"/>
      <w:divBdr>
        <w:top w:val="none" w:sz="0" w:space="0" w:color="auto"/>
        <w:left w:val="none" w:sz="0" w:space="0" w:color="auto"/>
        <w:bottom w:val="none" w:sz="0" w:space="0" w:color="auto"/>
        <w:right w:val="none" w:sz="0" w:space="0" w:color="auto"/>
      </w:divBdr>
    </w:div>
    <w:div w:id="1040862143">
      <w:bodyDiv w:val="1"/>
      <w:marLeft w:val="0"/>
      <w:marRight w:val="0"/>
      <w:marTop w:val="0"/>
      <w:marBottom w:val="0"/>
      <w:divBdr>
        <w:top w:val="none" w:sz="0" w:space="0" w:color="auto"/>
        <w:left w:val="none" w:sz="0" w:space="0" w:color="auto"/>
        <w:bottom w:val="none" w:sz="0" w:space="0" w:color="auto"/>
        <w:right w:val="none" w:sz="0" w:space="0" w:color="auto"/>
      </w:divBdr>
    </w:div>
    <w:div w:id="1071349552">
      <w:bodyDiv w:val="1"/>
      <w:marLeft w:val="0"/>
      <w:marRight w:val="0"/>
      <w:marTop w:val="0"/>
      <w:marBottom w:val="0"/>
      <w:divBdr>
        <w:top w:val="none" w:sz="0" w:space="0" w:color="auto"/>
        <w:left w:val="none" w:sz="0" w:space="0" w:color="auto"/>
        <w:bottom w:val="none" w:sz="0" w:space="0" w:color="auto"/>
        <w:right w:val="none" w:sz="0" w:space="0" w:color="auto"/>
      </w:divBdr>
    </w:div>
    <w:div w:id="1078476969">
      <w:bodyDiv w:val="1"/>
      <w:marLeft w:val="0"/>
      <w:marRight w:val="0"/>
      <w:marTop w:val="0"/>
      <w:marBottom w:val="0"/>
      <w:divBdr>
        <w:top w:val="none" w:sz="0" w:space="0" w:color="auto"/>
        <w:left w:val="none" w:sz="0" w:space="0" w:color="auto"/>
        <w:bottom w:val="none" w:sz="0" w:space="0" w:color="auto"/>
        <w:right w:val="none" w:sz="0" w:space="0" w:color="auto"/>
      </w:divBdr>
      <w:divsChild>
        <w:div w:id="415133091">
          <w:marLeft w:val="0"/>
          <w:marRight w:val="0"/>
          <w:marTop w:val="0"/>
          <w:marBottom w:val="0"/>
          <w:divBdr>
            <w:top w:val="none" w:sz="0" w:space="0" w:color="auto"/>
            <w:left w:val="none" w:sz="0" w:space="0" w:color="auto"/>
            <w:bottom w:val="none" w:sz="0" w:space="0" w:color="auto"/>
            <w:right w:val="none" w:sz="0" w:space="0" w:color="auto"/>
          </w:divBdr>
        </w:div>
      </w:divsChild>
    </w:div>
    <w:div w:id="1094479661">
      <w:bodyDiv w:val="1"/>
      <w:marLeft w:val="0"/>
      <w:marRight w:val="0"/>
      <w:marTop w:val="0"/>
      <w:marBottom w:val="0"/>
      <w:divBdr>
        <w:top w:val="none" w:sz="0" w:space="0" w:color="auto"/>
        <w:left w:val="none" w:sz="0" w:space="0" w:color="auto"/>
        <w:bottom w:val="none" w:sz="0" w:space="0" w:color="auto"/>
        <w:right w:val="none" w:sz="0" w:space="0" w:color="auto"/>
      </w:divBdr>
    </w:div>
    <w:div w:id="1096945142">
      <w:bodyDiv w:val="1"/>
      <w:marLeft w:val="0"/>
      <w:marRight w:val="0"/>
      <w:marTop w:val="0"/>
      <w:marBottom w:val="0"/>
      <w:divBdr>
        <w:top w:val="none" w:sz="0" w:space="0" w:color="auto"/>
        <w:left w:val="none" w:sz="0" w:space="0" w:color="auto"/>
        <w:bottom w:val="none" w:sz="0" w:space="0" w:color="auto"/>
        <w:right w:val="none" w:sz="0" w:space="0" w:color="auto"/>
      </w:divBdr>
    </w:div>
    <w:div w:id="1118643829">
      <w:bodyDiv w:val="1"/>
      <w:marLeft w:val="0"/>
      <w:marRight w:val="0"/>
      <w:marTop w:val="0"/>
      <w:marBottom w:val="0"/>
      <w:divBdr>
        <w:top w:val="none" w:sz="0" w:space="0" w:color="auto"/>
        <w:left w:val="none" w:sz="0" w:space="0" w:color="auto"/>
        <w:bottom w:val="none" w:sz="0" w:space="0" w:color="auto"/>
        <w:right w:val="none" w:sz="0" w:space="0" w:color="auto"/>
      </w:divBdr>
    </w:div>
    <w:div w:id="1125544043">
      <w:bodyDiv w:val="1"/>
      <w:marLeft w:val="0"/>
      <w:marRight w:val="0"/>
      <w:marTop w:val="0"/>
      <w:marBottom w:val="0"/>
      <w:divBdr>
        <w:top w:val="none" w:sz="0" w:space="0" w:color="auto"/>
        <w:left w:val="none" w:sz="0" w:space="0" w:color="auto"/>
        <w:bottom w:val="none" w:sz="0" w:space="0" w:color="auto"/>
        <w:right w:val="none" w:sz="0" w:space="0" w:color="auto"/>
      </w:divBdr>
    </w:div>
    <w:div w:id="1143546970">
      <w:bodyDiv w:val="1"/>
      <w:marLeft w:val="0"/>
      <w:marRight w:val="0"/>
      <w:marTop w:val="0"/>
      <w:marBottom w:val="0"/>
      <w:divBdr>
        <w:top w:val="none" w:sz="0" w:space="0" w:color="auto"/>
        <w:left w:val="none" w:sz="0" w:space="0" w:color="auto"/>
        <w:bottom w:val="none" w:sz="0" w:space="0" w:color="auto"/>
        <w:right w:val="none" w:sz="0" w:space="0" w:color="auto"/>
      </w:divBdr>
    </w:div>
    <w:div w:id="1152060380">
      <w:bodyDiv w:val="1"/>
      <w:marLeft w:val="0"/>
      <w:marRight w:val="0"/>
      <w:marTop w:val="0"/>
      <w:marBottom w:val="0"/>
      <w:divBdr>
        <w:top w:val="none" w:sz="0" w:space="0" w:color="auto"/>
        <w:left w:val="none" w:sz="0" w:space="0" w:color="auto"/>
        <w:bottom w:val="none" w:sz="0" w:space="0" w:color="auto"/>
        <w:right w:val="none" w:sz="0" w:space="0" w:color="auto"/>
      </w:divBdr>
      <w:divsChild>
        <w:div w:id="1665889293">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917638971">
              <w:marLeft w:val="0"/>
              <w:marRight w:val="0"/>
              <w:marTop w:val="0"/>
              <w:marBottom w:val="0"/>
              <w:divBdr>
                <w:top w:val="none" w:sz="0" w:space="0" w:color="auto"/>
                <w:left w:val="none" w:sz="0" w:space="0" w:color="auto"/>
                <w:bottom w:val="none" w:sz="0" w:space="0" w:color="auto"/>
                <w:right w:val="none" w:sz="0" w:space="0" w:color="auto"/>
              </w:divBdr>
              <w:divsChild>
                <w:div w:id="640770573">
                  <w:marLeft w:val="0"/>
                  <w:marRight w:val="0"/>
                  <w:marTop w:val="0"/>
                  <w:marBottom w:val="0"/>
                  <w:divBdr>
                    <w:top w:val="none" w:sz="0" w:space="0" w:color="auto"/>
                    <w:left w:val="none" w:sz="0" w:space="0" w:color="auto"/>
                    <w:bottom w:val="none" w:sz="0" w:space="0" w:color="auto"/>
                    <w:right w:val="none" w:sz="0" w:space="0" w:color="auto"/>
                  </w:divBdr>
                  <w:divsChild>
                    <w:div w:id="71053392">
                      <w:marLeft w:val="0"/>
                      <w:marRight w:val="0"/>
                      <w:marTop w:val="0"/>
                      <w:marBottom w:val="0"/>
                      <w:divBdr>
                        <w:top w:val="none" w:sz="0" w:space="0" w:color="auto"/>
                        <w:left w:val="none" w:sz="0" w:space="0" w:color="auto"/>
                        <w:bottom w:val="none" w:sz="0" w:space="0" w:color="auto"/>
                        <w:right w:val="none" w:sz="0" w:space="0" w:color="auto"/>
                      </w:divBdr>
                    </w:div>
                    <w:div w:id="182476495">
                      <w:marLeft w:val="0"/>
                      <w:marRight w:val="0"/>
                      <w:marTop w:val="0"/>
                      <w:marBottom w:val="0"/>
                      <w:divBdr>
                        <w:top w:val="none" w:sz="0" w:space="0" w:color="auto"/>
                        <w:left w:val="none" w:sz="0" w:space="0" w:color="auto"/>
                        <w:bottom w:val="none" w:sz="0" w:space="0" w:color="auto"/>
                        <w:right w:val="none" w:sz="0" w:space="0" w:color="auto"/>
                      </w:divBdr>
                    </w:div>
                    <w:div w:id="202981347">
                      <w:marLeft w:val="0"/>
                      <w:marRight w:val="0"/>
                      <w:marTop w:val="0"/>
                      <w:marBottom w:val="0"/>
                      <w:divBdr>
                        <w:top w:val="none" w:sz="0" w:space="0" w:color="auto"/>
                        <w:left w:val="none" w:sz="0" w:space="0" w:color="auto"/>
                        <w:bottom w:val="none" w:sz="0" w:space="0" w:color="auto"/>
                        <w:right w:val="none" w:sz="0" w:space="0" w:color="auto"/>
                      </w:divBdr>
                    </w:div>
                    <w:div w:id="240600938">
                      <w:marLeft w:val="0"/>
                      <w:marRight w:val="0"/>
                      <w:marTop w:val="0"/>
                      <w:marBottom w:val="0"/>
                      <w:divBdr>
                        <w:top w:val="none" w:sz="0" w:space="0" w:color="auto"/>
                        <w:left w:val="none" w:sz="0" w:space="0" w:color="auto"/>
                        <w:bottom w:val="none" w:sz="0" w:space="0" w:color="auto"/>
                        <w:right w:val="none" w:sz="0" w:space="0" w:color="auto"/>
                      </w:divBdr>
                    </w:div>
                    <w:div w:id="252325996">
                      <w:marLeft w:val="0"/>
                      <w:marRight w:val="0"/>
                      <w:marTop w:val="0"/>
                      <w:marBottom w:val="0"/>
                      <w:divBdr>
                        <w:top w:val="none" w:sz="0" w:space="0" w:color="auto"/>
                        <w:left w:val="none" w:sz="0" w:space="0" w:color="auto"/>
                        <w:bottom w:val="none" w:sz="0" w:space="0" w:color="auto"/>
                        <w:right w:val="none" w:sz="0" w:space="0" w:color="auto"/>
                      </w:divBdr>
                    </w:div>
                    <w:div w:id="275521474">
                      <w:marLeft w:val="0"/>
                      <w:marRight w:val="0"/>
                      <w:marTop w:val="0"/>
                      <w:marBottom w:val="0"/>
                      <w:divBdr>
                        <w:top w:val="none" w:sz="0" w:space="0" w:color="auto"/>
                        <w:left w:val="none" w:sz="0" w:space="0" w:color="auto"/>
                        <w:bottom w:val="none" w:sz="0" w:space="0" w:color="auto"/>
                        <w:right w:val="none" w:sz="0" w:space="0" w:color="auto"/>
                      </w:divBdr>
                    </w:div>
                    <w:div w:id="306399994">
                      <w:marLeft w:val="0"/>
                      <w:marRight w:val="0"/>
                      <w:marTop w:val="0"/>
                      <w:marBottom w:val="0"/>
                      <w:divBdr>
                        <w:top w:val="none" w:sz="0" w:space="0" w:color="auto"/>
                        <w:left w:val="none" w:sz="0" w:space="0" w:color="auto"/>
                        <w:bottom w:val="none" w:sz="0" w:space="0" w:color="auto"/>
                        <w:right w:val="none" w:sz="0" w:space="0" w:color="auto"/>
                      </w:divBdr>
                    </w:div>
                    <w:div w:id="307126438">
                      <w:marLeft w:val="0"/>
                      <w:marRight w:val="0"/>
                      <w:marTop w:val="0"/>
                      <w:marBottom w:val="0"/>
                      <w:divBdr>
                        <w:top w:val="none" w:sz="0" w:space="0" w:color="auto"/>
                        <w:left w:val="none" w:sz="0" w:space="0" w:color="auto"/>
                        <w:bottom w:val="none" w:sz="0" w:space="0" w:color="auto"/>
                        <w:right w:val="none" w:sz="0" w:space="0" w:color="auto"/>
                      </w:divBdr>
                    </w:div>
                    <w:div w:id="354040802">
                      <w:marLeft w:val="0"/>
                      <w:marRight w:val="0"/>
                      <w:marTop w:val="0"/>
                      <w:marBottom w:val="0"/>
                      <w:divBdr>
                        <w:top w:val="none" w:sz="0" w:space="0" w:color="auto"/>
                        <w:left w:val="none" w:sz="0" w:space="0" w:color="auto"/>
                        <w:bottom w:val="none" w:sz="0" w:space="0" w:color="auto"/>
                        <w:right w:val="none" w:sz="0" w:space="0" w:color="auto"/>
                      </w:divBdr>
                    </w:div>
                    <w:div w:id="428505291">
                      <w:marLeft w:val="0"/>
                      <w:marRight w:val="0"/>
                      <w:marTop w:val="0"/>
                      <w:marBottom w:val="0"/>
                      <w:divBdr>
                        <w:top w:val="none" w:sz="0" w:space="0" w:color="auto"/>
                        <w:left w:val="none" w:sz="0" w:space="0" w:color="auto"/>
                        <w:bottom w:val="none" w:sz="0" w:space="0" w:color="auto"/>
                        <w:right w:val="none" w:sz="0" w:space="0" w:color="auto"/>
                      </w:divBdr>
                    </w:div>
                    <w:div w:id="599414817">
                      <w:marLeft w:val="0"/>
                      <w:marRight w:val="0"/>
                      <w:marTop w:val="0"/>
                      <w:marBottom w:val="0"/>
                      <w:divBdr>
                        <w:top w:val="none" w:sz="0" w:space="0" w:color="auto"/>
                        <w:left w:val="none" w:sz="0" w:space="0" w:color="auto"/>
                        <w:bottom w:val="none" w:sz="0" w:space="0" w:color="auto"/>
                        <w:right w:val="none" w:sz="0" w:space="0" w:color="auto"/>
                      </w:divBdr>
                    </w:div>
                    <w:div w:id="830095286">
                      <w:marLeft w:val="0"/>
                      <w:marRight w:val="0"/>
                      <w:marTop w:val="0"/>
                      <w:marBottom w:val="0"/>
                      <w:divBdr>
                        <w:top w:val="none" w:sz="0" w:space="0" w:color="auto"/>
                        <w:left w:val="none" w:sz="0" w:space="0" w:color="auto"/>
                        <w:bottom w:val="none" w:sz="0" w:space="0" w:color="auto"/>
                        <w:right w:val="none" w:sz="0" w:space="0" w:color="auto"/>
                      </w:divBdr>
                    </w:div>
                    <w:div w:id="889851374">
                      <w:marLeft w:val="0"/>
                      <w:marRight w:val="0"/>
                      <w:marTop w:val="0"/>
                      <w:marBottom w:val="0"/>
                      <w:divBdr>
                        <w:top w:val="none" w:sz="0" w:space="0" w:color="auto"/>
                        <w:left w:val="none" w:sz="0" w:space="0" w:color="auto"/>
                        <w:bottom w:val="none" w:sz="0" w:space="0" w:color="auto"/>
                        <w:right w:val="none" w:sz="0" w:space="0" w:color="auto"/>
                      </w:divBdr>
                    </w:div>
                    <w:div w:id="898786710">
                      <w:marLeft w:val="0"/>
                      <w:marRight w:val="0"/>
                      <w:marTop w:val="0"/>
                      <w:marBottom w:val="0"/>
                      <w:divBdr>
                        <w:top w:val="none" w:sz="0" w:space="0" w:color="auto"/>
                        <w:left w:val="none" w:sz="0" w:space="0" w:color="auto"/>
                        <w:bottom w:val="none" w:sz="0" w:space="0" w:color="auto"/>
                        <w:right w:val="none" w:sz="0" w:space="0" w:color="auto"/>
                      </w:divBdr>
                    </w:div>
                    <w:div w:id="973677652">
                      <w:marLeft w:val="0"/>
                      <w:marRight w:val="0"/>
                      <w:marTop w:val="0"/>
                      <w:marBottom w:val="0"/>
                      <w:divBdr>
                        <w:top w:val="none" w:sz="0" w:space="0" w:color="auto"/>
                        <w:left w:val="none" w:sz="0" w:space="0" w:color="auto"/>
                        <w:bottom w:val="none" w:sz="0" w:space="0" w:color="auto"/>
                        <w:right w:val="none" w:sz="0" w:space="0" w:color="auto"/>
                      </w:divBdr>
                    </w:div>
                    <w:div w:id="1101298024">
                      <w:marLeft w:val="0"/>
                      <w:marRight w:val="0"/>
                      <w:marTop w:val="0"/>
                      <w:marBottom w:val="0"/>
                      <w:divBdr>
                        <w:top w:val="none" w:sz="0" w:space="0" w:color="auto"/>
                        <w:left w:val="none" w:sz="0" w:space="0" w:color="auto"/>
                        <w:bottom w:val="none" w:sz="0" w:space="0" w:color="auto"/>
                        <w:right w:val="none" w:sz="0" w:space="0" w:color="auto"/>
                      </w:divBdr>
                    </w:div>
                    <w:div w:id="1261719754">
                      <w:marLeft w:val="0"/>
                      <w:marRight w:val="0"/>
                      <w:marTop w:val="0"/>
                      <w:marBottom w:val="0"/>
                      <w:divBdr>
                        <w:top w:val="none" w:sz="0" w:space="0" w:color="auto"/>
                        <w:left w:val="none" w:sz="0" w:space="0" w:color="auto"/>
                        <w:bottom w:val="none" w:sz="0" w:space="0" w:color="auto"/>
                        <w:right w:val="none" w:sz="0" w:space="0" w:color="auto"/>
                      </w:divBdr>
                    </w:div>
                    <w:div w:id="1400858471">
                      <w:marLeft w:val="0"/>
                      <w:marRight w:val="0"/>
                      <w:marTop w:val="0"/>
                      <w:marBottom w:val="0"/>
                      <w:divBdr>
                        <w:top w:val="none" w:sz="0" w:space="0" w:color="auto"/>
                        <w:left w:val="none" w:sz="0" w:space="0" w:color="auto"/>
                        <w:bottom w:val="none" w:sz="0" w:space="0" w:color="auto"/>
                        <w:right w:val="none" w:sz="0" w:space="0" w:color="auto"/>
                      </w:divBdr>
                    </w:div>
                    <w:div w:id="1482382199">
                      <w:marLeft w:val="0"/>
                      <w:marRight w:val="0"/>
                      <w:marTop w:val="0"/>
                      <w:marBottom w:val="0"/>
                      <w:divBdr>
                        <w:top w:val="none" w:sz="0" w:space="0" w:color="auto"/>
                        <w:left w:val="none" w:sz="0" w:space="0" w:color="auto"/>
                        <w:bottom w:val="none" w:sz="0" w:space="0" w:color="auto"/>
                        <w:right w:val="none" w:sz="0" w:space="0" w:color="auto"/>
                      </w:divBdr>
                    </w:div>
                    <w:div w:id="1708799524">
                      <w:marLeft w:val="0"/>
                      <w:marRight w:val="0"/>
                      <w:marTop w:val="0"/>
                      <w:marBottom w:val="0"/>
                      <w:divBdr>
                        <w:top w:val="none" w:sz="0" w:space="0" w:color="auto"/>
                        <w:left w:val="none" w:sz="0" w:space="0" w:color="auto"/>
                        <w:bottom w:val="none" w:sz="0" w:space="0" w:color="auto"/>
                        <w:right w:val="none" w:sz="0" w:space="0" w:color="auto"/>
                      </w:divBdr>
                    </w:div>
                    <w:div w:id="1866946246">
                      <w:marLeft w:val="0"/>
                      <w:marRight w:val="0"/>
                      <w:marTop w:val="0"/>
                      <w:marBottom w:val="0"/>
                      <w:divBdr>
                        <w:top w:val="none" w:sz="0" w:space="0" w:color="auto"/>
                        <w:left w:val="none" w:sz="0" w:space="0" w:color="auto"/>
                        <w:bottom w:val="none" w:sz="0" w:space="0" w:color="auto"/>
                        <w:right w:val="none" w:sz="0" w:space="0" w:color="auto"/>
                      </w:divBdr>
                    </w:div>
                    <w:div w:id="1892232320">
                      <w:marLeft w:val="0"/>
                      <w:marRight w:val="0"/>
                      <w:marTop w:val="0"/>
                      <w:marBottom w:val="0"/>
                      <w:divBdr>
                        <w:top w:val="none" w:sz="0" w:space="0" w:color="auto"/>
                        <w:left w:val="none" w:sz="0" w:space="0" w:color="auto"/>
                        <w:bottom w:val="none" w:sz="0" w:space="0" w:color="auto"/>
                        <w:right w:val="none" w:sz="0" w:space="0" w:color="auto"/>
                      </w:divBdr>
                    </w:div>
                    <w:div w:id="1966155235">
                      <w:marLeft w:val="0"/>
                      <w:marRight w:val="0"/>
                      <w:marTop w:val="0"/>
                      <w:marBottom w:val="0"/>
                      <w:divBdr>
                        <w:top w:val="none" w:sz="0" w:space="0" w:color="auto"/>
                        <w:left w:val="none" w:sz="0" w:space="0" w:color="auto"/>
                        <w:bottom w:val="none" w:sz="0" w:space="0" w:color="auto"/>
                        <w:right w:val="none" w:sz="0" w:space="0" w:color="auto"/>
                      </w:divBdr>
                    </w:div>
                    <w:div w:id="1998876296">
                      <w:marLeft w:val="0"/>
                      <w:marRight w:val="0"/>
                      <w:marTop w:val="0"/>
                      <w:marBottom w:val="0"/>
                      <w:divBdr>
                        <w:top w:val="none" w:sz="0" w:space="0" w:color="auto"/>
                        <w:left w:val="none" w:sz="0" w:space="0" w:color="auto"/>
                        <w:bottom w:val="none" w:sz="0" w:space="0" w:color="auto"/>
                        <w:right w:val="none" w:sz="0" w:space="0" w:color="auto"/>
                      </w:divBdr>
                    </w:div>
                    <w:div w:id="206598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877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806554">
      <w:bodyDiv w:val="1"/>
      <w:marLeft w:val="0"/>
      <w:marRight w:val="0"/>
      <w:marTop w:val="0"/>
      <w:marBottom w:val="0"/>
      <w:divBdr>
        <w:top w:val="none" w:sz="0" w:space="0" w:color="auto"/>
        <w:left w:val="none" w:sz="0" w:space="0" w:color="auto"/>
        <w:bottom w:val="none" w:sz="0" w:space="0" w:color="auto"/>
        <w:right w:val="none" w:sz="0" w:space="0" w:color="auto"/>
      </w:divBdr>
    </w:div>
    <w:div w:id="1185365405">
      <w:bodyDiv w:val="1"/>
      <w:marLeft w:val="0"/>
      <w:marRight w:val="0"/>
      <w:marTop w:val="0"/>
      <w:marBottom w:val="0"/>
      <w:divBdr>
        <w:top w:val="none" w:sz="0" w:space="0" w:color="auto"/>
        <w:left w:val="none" w:sz="0" w:space="0" w:color="auto"/>
        <w:bottom w:val="none" w:sz="0" w:space="0" w:color="auto"/>
        <w:right w:val="none" w:sz="0" w:space="0" w:color="auto"/>
      </w:divBdr>
    </w:div>
    <w:div w:id="1212616867">
      <w:bodyDiv w:val="1"/>
      <w:marLeft w:val="0"/>
      <w:marRight w:val="0"/>
      <w:marTop w:val="0"/>
      <w:marBottom w:val="0"/>
      <w:divBdr>
        <w:top w:val="none" w:sz="0" w:space="0" w:color="auto"/>
        <w:left w:val="none" w:sz="0" w:space="0" w:color="auto"/>
        <w:bottom w:val="none" w:sz="0" w:space="0" w:color="auto"/>
        <w:right w:val="none" w:sz="0" w:space="0" w:color="auto"/>
      </w:divBdr>
    </w:div>
    <w:div w:id="1269391347">
      <w:bodyDiv w:val="1"/>
      <w:marLeft w:val="0"/>
      <w:marRight w:val="0"/>
      <w:marTop w:val="0"/>
      <w:marBottom w:val="0"/>
      <w:divBdr>
        <w:top w:val="none" w:sz="0" w:space="0" w:color="auto"/>
        <w:left w:val="none" w:sz="0" w:space="0" w:color="auto"/>
        <w:bottom w:val="none" w:sz="0" w:space="0" w:color="auto"/>
        <w:right w:val="none" w:sz="0" w:space="0" w:color="auto"/>
      </w:divBdr>
    </w:div>
    <w:div w:id="1424299138">
      <w:bodyDiv w:val="1"/>
      <w:marLeft w:val="0"/>
      <w:marRight w:val="0"/>
      <w:marTop w:val="0"/>
      <w:marBottom w:val="0"/>
      <w:divBdr>
        <w:top w:val="none" w:sz="0" w:space="0" w:color="auto"/>
        <w:left w:val="none" w:sz="0" w:space="0" w:color="auto"/>
        <w:bottom w:val="none" w:sz="0" w:space="0" w:color="auto"/>
        <w:right w:val="none" w:sz="0" w:space="0" w:color="auto"/>
      </w:divBdr>
    </w:div>
    <w:div w:id="1474829446">
      <w:bodyDiv w:val="1"/>
      <w:marLeft w:val="0"/>
      <w:marRight w:val="0"/>
      <w:marTop w:val="0"/>
      <w:marBottom w:val="0"/>
      <w:divBdr>
        <w:top w:val="none" w:sz="0" w:space="0" w:color="auto"/>
        <w:left w:val="none" w:sz="0" w:space="0" w:color="auto"/>
        <w:bottom w:val="none" w:sz="0" w:space="0" w:color="auto"/>
        <w:right w:val="none" w:sz="0" w:space="0" w:color="auto"/>
      </w:divBdr>
    </w:div>
    <w:div w:id="1493914911">
      <w:bodyDiv w:val="1"/>
      <w:marLeft w:val="0"/>
      <w:marRight w:val="0"/>
      <w:marTop w:val="0"/>
      <w:marBottom w:val="0"/>
      <w:divBdr>
        <w:top w:val="none" w:sz="0" w:space="0" w:color="auto"/>
        <w:left w:val="none" w:sz="0" w:space="0" w:color="auto"/>
        <w:bottom w:val="none" w:sz="0" w:space="0" w:color="auto"/>
        <w:right w:val="none" w:sz="0" w:space="0" w:color="auto"/>
      </w:divBdr>
    </w:div>
    <w:div w:id="1530219691">
      <w:bodyDiv w:val="1"/>
      <w:marLeft w:val="0"/>
      <w:marRight w:val="0"/>
      <w:marTop w:val="0"/>
      <w:marBottom w:val="0"/>
      <w:divBdr>
        <w:top w:val="none" w:sz="0" w:space="0" w:color="auto"/>
        <w:left w:val="none" w:sz="0" w:space="0" w:color="auto"/>
        <w:bottom w:val="none" w:sz="0" w:space="0" w:color="auto"/>
        <w:right w:val="none" w:sz="0" w:space="0" w:color="auto"/>
      </w:divBdr>
      <w:divsChild>
        <w:div w:id="1546525547">
          <w:marLeft w:val="0"/>
          <w:marRight w:val="0"/>
          <w:marTop w:val="0"/>
          <w:marBottom w:val="0"/>
          <w:divBdr>
            <w:top w:val="none" w:sz="0" w:space="0" w:color="auto"/>
            <w:left w:val="none" w:sz="0" w:space="0" w:color="auto"/>
            <w:bottom w:val="none" w:sz="0" w:space="0" w:color="auto"/>
            <w:right w:val="none" w:sz="0" w:space="0" w:color="auto"/>
          </w:divBdr>
        </w:div>
      </w:divsChild>
    </w:div>
    <w:div w:id="1531264715">
      <w:bodyDiv w:val="1"/>
      <w:marLeft w:val="0"/>
      <w:marRight w:val="0"/>
      <w:marTop w:val="0"/>
      <w:marBottom w:val="0"/>
      <w:divBdr>
        <w:top w:val="none" w:sz="0" w:space="0" w:color="auto"/>
        <w:left w:val="none" w:sz="0" w:space="0" w:color="auto"/>
        <w:bottom w:val="none" w:sz="0" w:space="0" w:color="auto"/>
        <w:right w:val="none" w:sz="0" w:space="0" w:color="auto"/>
      </w:divBdr>
    </w:div>
    <w:div w:id="1575778534">
      <w:bodyDiv w:val="1"/>
      <w:marLeft w:val="0"/>
      <w:marRight w:val="0"/>
      <w:marTop w:val="0"/>
      <w:marBottom w:val="0"/>
      <w:divBdr>
        <w:top w:val="none" w:sz="0" w:space="0" w:color="auto"/>
        <w:left w:val="none" w:sz="0" w:space="0" w:color="auto"/>
        <w:bottom w:val="none" w:sz="0" w:space="0" w:color="auto"/>
        <w:right w:val="none" w:sz="0" w:space="0" w:color="auto"/>
      </w:divBdr>
    </w:div>
    <w:div w:id="1589197048">
      <w:bodyDiv w:val="1"/>
      <w:marLeft w:val="0"/>
      <w:marRight w:val="0"/>
      <w:marTop w:val="0"/>
      <w:marBottom w:val="0"/>
      <w:divBdr>
        <w:top w:val="none" w:sz="0" w:space="0" w:color="auto"/>
        <w:left w:val="none" w:sz="0" w:space="0" w:color="auto"/>
        <w:bottom w:val="none" w:sz="0" w:space="0" w:color="auto"/>
        <w:right w:val="none" w:sz="0" w:space="0" w:color="auto"/>
      </w:divBdr>
      <w:divsChild>
        <w:div w:id="94324509">
          <w:marLeft w:val="1166"/>
          <w:marRight w:val="0"/>
          <w:marTop w:val="106"/>
          <w:marBottom w:val="0"/>
          <w:divBdr>
            <w:top w:val="none" w:sz="0" w:space="0" w:color="auto"/>
            <w:left w:val="none" w:sz="0" w:space="0" w:color="auto"/>
            <w:bottom w:val="none" w:sz="0" w:space="0" w:color="auto"/>
            <w:right w:val="none" w:sz="0" w:space="0" w:color="auto"/>
          </w:divBdr>
        </w:div>
        <w:div w:id="750659953">
          <w:marLeft w:val="1166"/>
          <w:marRight w:val="0"/>
          <w:marTop w:val="96"/>
          <w:marBottom w:val="0"/>
          <w:divBdr>
            <w:top w:val="none" w:sz="0" w:space="0" w:color="auto"/>
            <w:left w:val="none" w:sz="0" w:space="0" w:color="auto"/>
            <w:bottom w:val="none" w:sz="0" w:space="0" w:color="auto"/>
            <w:right w:val="none" w:sz="0" w:space="0" w:color="auto"/>
          </w:divBdr>
        </w:div>
        <w:div w:id="1328047527">
          <w:marLeft w:val="547"/>
          <w:marRight w:val="0"/>
          <w:marTop w:val="115"/>
          <w:marBottom w:val="0"/>
          <w:divBdr>
            <w:top w:val="none" w:sz="0" w:space="0" w:color="auto"/>
            <w:left w:val="none" w:sz="0" w:space="0" w:color="auto"/>
            <w:bottom w:val="none" w:sz="0" w:space="0" w:color="auto"/>
            <w:right w:val="none" w:sz="0" w:space="0" w:color="auto"/>
          </w:divBdr>
        </w:div>
        <w:div w:id="1405565504">
          <w:marLeft w:val="547"/>
          <w:marRight w:val="0"/>
          <w:marTop w:val="125"/>
          <w:marBottom w:val="0"/>
          <w:divBdr>
            <w:top w:val="none" w:sz="0" w:space="0" w:color="auto"/>
            <w:left w:val="none" w:sz="0" w:space="0" w:color="auto"/>
            <w:bottom w:val="none" w:sz="0" w:space="0" w:color="auto"/>
            <w:right w:val="none" w:sz="0" w:space="0" w:color="auto"/>
          </w:divBdr>
        </w:div>
        <w:div w:id="1411344470">
          <w:marLeft w:val="1166"/>
          <w:marRight w:val="0"/>
          <w:marTop w:val="96"/>
          <w:marBottom w:val="0"/>
          <w:divBdr>
            <w:top w:val="none" w:sz="0" w:space="0" w:color="auto"/>
            <w:left w:val="none" w:sz="0" w:space="0" w:color="auto"/>
            <w:bottom w:val="none" w:sz="0" w:space="0" w:color="auto"/>
            <w:right w:val="none" w:sz="0" w:space="0" w:color="auto"/>
          </w:divBdr>
        </w:div>
        <w:div w:id="1452169848">
          <w:marLeft w:val="547"/>
          <w:marRight w:val="0"/>
          <w:marTop w:val="130"/>
          <w:marBottom w:val="0"/>
          <w:divBdr>
            <w:top w:val="none" w:sz="0" w:space="0" w:color="auto"/>
            <w:left w:val="none" w:sz="0" w:space="0" w:color="auto"/>
            <w:bottom w:val="none" w:sz="0" w:space="0" w:color="auto"/>
            <w:right w:val="none" w:sz="0" w:space="0" w:color="auto"/>
          </w:divBdr>
        </w:div>
        <w:div w:id="1696154562">
          <w:marLeft w:val="1800"/>
          <w:marRight w:val="0"/>
          <w:marTop w:val="96"/>
          <w:marBottom w:val="0"/>
          <w:divBdr>
            <w:top w:val="none" w:sz="0" w:space="0" w:color="auto"/>
            <w:left w:val="none" w:sz="0" w:space="0" w:color="auto"/>
            <w:bottom w:val="none" w:sz="0" w:space="0" w:color="auto"/>
            <w:right w:val="none" w:sz="0" w:space="0" w:color="auto"/>
          </w:divBdr>
        </w:div>
        <w:div w:id="1818911948">
          <w:marLeft w:val="1166"/>
          <w:marRight w:val="0"/>
          <w:marTop w:val="106"/>
          <w:marBottom w:val="0"/>
          <w:divBdr>
            <w:top w:val="none" w:sz="0" w:space="0" w:color="auto"/>
            <w:left w:val="none" w:sz="0" w:space="0" w:color="auto"/>
            <w:bottom w:val="none" w:sz="0" w:space="0" w:color="auto"/>
            <w:right w:val="none" w:sz="0" w:space="0" w:color="auto"/>
          </w:divBdr>
        </w:div>
        <w:div w:id="1931114264">
          <w:marLeft w:val="547"/>
          <w:marRight w:val="0"/>
          <w:marTop w:val="130"/>
          <w:marBottom w:val="0"/>
          <w:divBdr>
            <w:top w:val="none" w:sz="0" w:space="0" w:color="auto"/>
            <w:left w:val="none" w:sz="0" w:space="0" w:color="auto"/>
            <w:bottom w:val="none" w:sz="0" w:space="0" w:color="auto"/>
            <w:right w:val="none" w:sz="0" w:space="0" w:color="auto"/>
          </w:divBdr>
        </w:div>
      </w:divsChild>
    </w:div>
    <w:div w:id="1593003046">
      <w:bodyDiv w:val="1"/>
      <w:marLeft w:val="0"/>
      <w:marRight w:val="0"/>
      <w:marTop w:val="0"/>
      <w:marBottom w:val="0"/>
      <w:divBdr>
        <w:top w:val="none" w:sz="0" w:space="0" w:color="auto"/>
        <w:left w:val="none" w:sz="0" w:space="0" w:color="auto"/>
        <w:bottom w:val="none" w:sz="0" w:space="0" w:color="auto"/>
        <w:right w:val="none" w:sz="0" w:space="0" w:color="auto"/>
      </w:divBdr>
    </w:div>
    <w:div w:id="1606887063">
      <w:bodyDiv w:val="1"/>
      <w:marLeft w:val="0"/>
      <w:marRight w:val="0"/>
      <w:marTop w:val="0"/>
      <w:marBottom w:val="0"/>
      <w:divBdr>
        <w:top w:val="none" w:sz="0" w:space="0" w:color="auto"/>
        <w:left w:val="none" w:sz="0" w:space="0" w:color="auto"/>
        <w:bottom w:val="none" w:sz="0" w:space="0" w:color="auto"/>
        <w:right w:val="none" w:sz="0" w:space="0" w:color="auto"/>
      </w:divBdr>
    </w:div>
    <w:div w:id="1654330134">
      <w:bodyDiv w:val="1"/>
      <w:marLeft w:val="0"/>
      <w:marRight w:val="0"/>
      <w:marTop w:val="0"/>
      <w:marBottom w:val="0"/>
      <w:divBdr>
        <w:top w:val="none" w:sz="0" w:space="0" w:color="auto"/>
        <w:left w:val="none" w:sz="0" w:space="0" w:color="auto"/>
        <w:bottom w:val="none" w:sz="0" w:space="0" w:color="auto"/>
        <w:right w:val="none" w:sz="0" w:space="0" w:color="auto"/>
      </w:divBdr>
    </w:div>
    <w:div w:id="1662854888">
      <w:bodyDiv w:val="1"/>
      <w:marLeft w:val="0"/>
      <w:marRight w:val="0"/>
      <w:marTop w:val="0"/>
      <w:marBottom w:val="0"/>
      <w:divBdr>
        <w:top w:val="none" w:sz="0" w:space="0" w:color="auto"/>
        <w:left w:val="none" w:sz="0" w:space="0" w:color="auto"/>
        <w:bottom w:val="none" w:sz="0" w:space="0" w:color="auto"/>
        <w:right w:val="none" w:sz="0" w:space="0" w:color="auto"/>
      </w:divBdr>
    </w:div>
    <w:div w:id="1669670106">
      <w:bodyDiv w:val="1"/>
      <w:marLeft w:val="0"/>
      <w:marRight w:val="0"/>
      <w:marTop w:val="0"/>
      <w:marBottom w:val="0"/>
      <w:divBdr>
        <w:top w:val="none" w:sz="0" w:space="0" w:color="auto"/>
        <w:left w:val="none" w:sz="0" w:space="0" w:color="auto"/>
        <w:bottom w:val="none" w:sz="0" w:space="0" w:color="auto"/>
        <w:right w:val="none" w:sz="0" w:space="0" w:color="auto"/>
      </w:divBdr>
    </w:div>
    <w:div w:id="1681614952">
      <w:bodyDiv w:val="1"/>
      <w:marLeft w:val="0"/>
      <w:marRight w:val="0"/>
      <w:marTop w:val="0"/>
      <w:marBottom w:val="0"/>
      <w:divBdr>
        <w:top w:val="none" w:sz="0" w:space="0" w:color="auto"/>
        <w:left w:val="none" w:sz="0" w:space="0" w:color="auto"/>
        <w:bottom w:val="none" w:sz="0" w:space="0" w:color="auto"/>
        <w:right w:val="none" w:sz="0" w:space="0" w:color="auto"/>
      </w:divBdr>
    </w:div>
    <w:div w:id="1682244516">
      <w:bodyDiv w:val="1"/>
      <w:marLeft w:val="0"/>
      <w:marRight w:val="0"/>
      <w:marTop w:val="0"/>
      <w:marBottom w:val="0"/>
      <w:divBdr>
        <w:top w:val="none" w:sz="0" w:space="0" w:color="auto"/>
        <w:left w:val="none" w:sz="0" w:space="0" w:color="auto"/>
        <w:bottom w:val="none" w:sz="0" w:space="0" w:color="auto"/>
        <w:right w:val="none" w:sz="0" w:space="0" w:color="auto"/>
      </w:divBdr>
    </w:div>
    <w:div w:id="1683042698">
      <w:bodyDiv w:val="1"/>
      <w:marLeft w:val="0"/>
      <w:marRight w:val="0"/>
      <w:marTop w:val="0"/>
      <w:marBottom w:val="0"/>
      <w:divBdr>
        <w:top w:val="none" w:sz="0" w:space="0" w:color="auto"/>
        <w:left w:val="none" w:sz="0" w:space="0" w:color="auto"/>
        <w:bottom w:val="none" w:sz="0" w:space="0" w:color="auto"/>
        <w:right w:val="none" w:sz="0" w:space="0" w:color="auto"/>
      </w:divBdr>
    </w:div>
    <w:div w:id="1703357150">
      <w:bodyDiv w:val="1"/>
      <w:marLeft w:val="0"/>
      <w:marRight w:val="0"/>
      <w:marTop w:val="0"/>
      <w:marBottom w:val="0"/>
      <w:divBdr>
        <w:top w:val="none" w:sz="0" w:space="0" w:color="auto"/>
        <w:left w:val="none" w:sz="0" w:space="0" w:color="auto"/>
        <w:bottom w:val="none" w:sz="0" w:space="0" w:color="auto"/>
        <w:right w:val="none" w:sz="0" w:space="0" w:color="auto"/>
      </w:divBdr>
      <w:divsChild>
        <w:div w:id="1553232556">
          <w:marLeft w:val="0"/>
          <w:marRight w:val="0"/>
          <w:marTop w:val="0"/>
          <w:marBottom w:val="0"/>
          <w:divBdr>
            <w:top w:val="none" w:sz="0" w:space="0" w:color="auto"/>
            <w:left w:val="none" w:sz="0" w:space="0" w:color="auto"/>
            <w:bottom w:val="none" w:sz="0" w:space="0" w:color="auto"/>
            <w:right w:val="none" w:sz="0" w:space="0" w:color="auto"/>
          </w:divBdr>
          <w:divsChild>
            <w:div w:id="1528828259">
              <w:marLeft w:val="0"/>
              <w:marRight w:val="0"/>
              <w:marTop w:val="0"/>
              <w:marBottom w:val="0"/>
              <w:divBdr>
                <w:top w:val="none" w:sz="0" w:space="0" w:color="auto"/>
                <w:left w:val="none" w:sz="0" w:space="0" w:color="auto"/>
                <w:bottom w:val="none" w:sz="0" w:space="0" w:color="auto"/>
                <w:right w:val="none" w:sz="0" w:space="0" w:color="auto"/>
              </w:divBdr>
              <w:divsChild>
                <w:div w:id="1676229328">
                  <w:marLeft w:val="0"/>
                  <w:marRight w:val="0"/>
                  <w:marTop w:val="0"/>
                  <w:marBottom w:val="0"/>
                  <w:divBdr>
                    <w:top w:val="none" w:sz="0" w:space="0" w:color="auto"/>
                    <w:left w:val="none" w:sz="0" w:space="0" w:color="auto"/>
                    <w:bottom w:val="none" w:sz="0" w:space="0" w:color="auto"/>
                    <w:right w:val="none" w:sz="0" w:space="0" w:color="auto"/>
                  </w:divBdr>
                </w:div>
              </w:divsChild>
            </w:div>
            <w:div w:id="1642492782">
              <w:marLeft w:val="0"/>
              <w:marRight w:val="0"/>
              <w:marTop w:val="0"/>
              <w:marBottom w:val="0"/>
              <w:divBdr>
                <w:top w:val="none" w:sz="0" w:space="0" w:color="auto"/>
                <w:left w:val="none" w:sz="0" w:space="0" w:color="auto"/>
                <w:bottom w:val="none" w:sz="0" w:space="0" w:color="auto"/>
                <w:right w:val="none" w:sz="0" w:space="0" w:color="auto"/>
              </w:divBdr>
            </w:div>
            <w:div w:id="2120833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225062">
      <w:bodyDiv w:val="1"/>
      <w:marLeft w:val="0"/>
      <w:marRight w:val="0"/>
      <w:marTop w:val="0"/>
      <w:marBottom w:val="0"/>
      <w:divBdr>
        <w:top w:val="none" w:sz="0" w:space="0" w:color="auto"/>
        <w:left w:val="none" w:sz="0" w:space="0" w:color="auto"/>
        <w:bottom w:val="none" w:sz="0" w:space="0" w:color="auto"/>
        <w:right w:val="none" w:sz="0" w:space="0" w:color="auto"/>
      </w:divBdr>
    </w:div>
    <w:div w:id="2057578949">
      <w:bodyDiv w:val="1"/>
      <w:marLeft w:val="0"/>
      <w:marRight w:val="0"/>
      <w:marTop w:val="0"/>
      <w:marBottom w:val="0"/>
      <w:divBdr>
        <w:top w:val="none" w:sz="0" w:space="0" w:color="auto"/>
        <w:left w:val="none" w:sz="0" w:space="0" w:color="auto"/>
        <w:bottom w:val="none" w:sz="0" w:space="0" w:color="auto"/>
        <w:right w:val="none" w:sz="0" w:space="0" w:color="auto"/>
      </w:divBdr>
    </w:div>
    <w:div w:id="2095855585">
      <w:bodyDiv w:val="1"/>
      <w:marLeft w:val="0"/>
      <w:marRight w:val="0"/>
      <w:marTop w:val="0"/>
      <w:marBottom w:val="0"/>
      <w:divBdr>
        <w:top w:val="none" w:sz="0" w:space="0" w:color="auto"/>
        <w:left w:val="none" w:sz="0" w:space="0" w:color="auto"/>
        <w:bottom w:val="none" w:sz="0" w:space="0" w:color="auto"/>
        <w:right w:val="none" w:sz="0" w:space="0" w:color="auto"/>
      </w:divBdr>
    </w:div>
    <w:div w:id="2101683638">
      <w:bodyDiv w:val="1"/>
      <w:marLeft w:val="0"/>
      <w:marRight w:val="0"/>
      <w:marTop w:val="0"/>
      <w:marBottom w:val="0"/>
      <w:divBdr>
        <w:top w:val="none" w:sz="0" w:space="0" w:color="auto"/>
        <w:left w:val="none" w:sz="0" w:space="0" w:color="auto"/>
        <w:bottom w:val="none" w:sz="0" w:space="0" w:color="auto"/>
        <w:right w:val="none" w:sz="0" w:space="0" w:color="auto"/>
      </w:divBdr>
    </w:div>
    <w:div w:id="2114519385">
      <w:bodyDiv w:val="1"/>
      <w:marLeft w:val="0"/>
      <w:marRight w:val="0"/>
      <w:marTop w:val="0"/>
      <w:marBottom w:val="0"/>
      <w:divBdr>
        <w:top w:val="none" w:sz="0" w:space="0" w:color="auto"/>
        <w:left w:val="none" w:sz="0" w:space="0" w:color="auto"/>
        <w:bottom w:val="none" w:sz="0" w:space="0" w:color="auto"/>
        <w:right w:val="none" w:sz="0" w:space="0" w:color="auto"/>
      </w:divBdr>
    </w:div>
    <w:div w:id="212560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hu7372\Desktop\RAN1%2358bi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2BA617-CCF7-4A91-9607-D6122935C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492</TotalTime>
  <Pages>3</Pages>
  <Words>1246</Words>
  <Characters>7104</Characters>
  <Application>Microsoft Office Word</Application>
  <DocSecurity>0</DocSecurity>
  <Lines>59</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D2D</vt:lpstr>
      <vt:lpstr>D2D</vt:lpstr>
      <vt:lpstr>ETSI stylesheet (v.7.0)</vt:lpstr>
    </vt:vector>
  </TitlesOfParts>
  <Company>ETSI Sophia Antipolis</Company>
  <LinksUpToDate>false</LinksUpToDate>
  <CharactersWithSpaces>8334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D2D</dc:title>
  <dc:creator>Samsung</dc:creator>
  <cp:lastModifiedBy>Hyunseok Ryu</cp:lastModifiedBy>
  <cp:revision>17</cp:revision>
  <cp:lastPrinted>2015-04-07T07:43:00Z</cp:lastPrinted>
  <dcterms:created xsi:type="dcterms:W3CDTF">2015-04-07T08:16:00Z</dcterms:created>
  <dcterms:modified xsi:type="dcterms:W3CDTF">2015-04-10T08:31:00Z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